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8E" w:rsidRPr="00242518" w:rsidRDefault="00287C8E" w:rsidP="00287C8E">
      <w:pPr>
        <w:pStyle w:val="Default"/>
        <w:jc w:val="center"/>
        <w:rPr>
          <w:b/>
          <w:sz w:val="22"/>
          <w:szCs w:val="22"/>
        </w:rPr>
      </w:pPr>
      <w:r w:rsidRPr="00242518">
        <w:rPr>
          <w:b/>
          <w:sz w:val="22"/>
          <w:szCs w:val="22"/>
        </w:rPr>
        <w:t xml:space="preserve">2014 State Damage Prevention Program </w:t>
      </w:r>
      <w:r w:rsidR="00EB4596">
        <w:rPr>
          <w:b/>
          <w:sz w:val="22"/>
          <w:szCs w:val="22"/>
        </w:rPr>
        <w:t>Grants Final</w:t>
      </w:r>
      <w:r w:rsidRPr="00242518">
        <w:rPr>
          <w:b/>
          <w:sz w:val="22"/>
          <w:szCs w:val="22"/>
        </w:rPr>
        <w:t xml:space="preserve"> Report </w:t>
      </w:r>
    </w:p>
    <w:p w:rsidR="00287C8E" w:rsidRPr="00242518" w:rsidRDefault="00287C8E" w:rsidP="00287C8E">
      <w:pPr>
        <w:pStyle w:val="Default"/>
        <w:jc w:val="center"/>
        <w:rPr>
          <w:b/>
          <w:sz w:val="22"/>
          <w:szCs w:val="22"/>
        </w:rPr>
      </w:pPr>
      <w:r w:rsidRPr="00242518">
        <w:rPr>
          <w:b/>
          <w:sz w:val="22"/>
          <w:szCs w:val="22"/>
        </w:rPr>
        <w:t>CFDA Number: 20.720</w:t>
      </w:r>
    </w:p>
    <w:p w:rsidR="00287C8E" w:rsidRPr="00242518" w:rsidRDefault="00287C8E" w:rsidP="00287C8E">
      <w:pPr>
        <w:jc w:val="center"/>
        <w:rPr>
          <w:b/>
          <w:sz w:val="22"/>
          <w:szCs w:val="22"/>
        </w:rPr>
      </w:pPr>
    </w:p>
    <w:p w:rsidR="00287C8E" w:rsidRPr="00242518" w:rsidRDefault="00287C8E" w:rsidP="00287C8E">
      <w:pPr>
        <w:pStyle w:val="Default"/>
        <w:rPr>
          <w:i/>
          <w:sz w:val="22"/>
          <w:szCs w:val="22"/>
        </w:rPr>
      </w:pPr>
      <w:r w:rsidRPr="00242518">
        <w:rPr>
          <w:b/>
          <w:sz w:val="22"/>
          <w:szCs w:val="22"/>
        </w:rPr>
        <w:t>Award Number:</w:t>
      </w:r>
      <w:r w:rsidRPr="00242518">
        <w:rPr>
          <w:sz w:val="22"/>
          <w:szCs w:val="22"/>
        </w:rPr>
        <w:t xml:space="preserve"> DTPH5614GPPS17</w:t>
      </w:r>
    </w:p>
    <w:p w:rsidR="00287C8E" w:rsidRPr="00242518" w:rsidRDefault="00287C8E" w:rsidP="00287C8E">
      <w:pPr>
        <w:rPr>
          <w:i/>
          <w:sz w:val="22"/>
          <w:szCs w:val="22"/>
        </w:rPr>
      </w:pPr>
      <w:r w:rsidRPr="00242518">
        <w:rPr>
          <w:b/>
          <w:sz w:val="22"/>
          <w:szCs w:val="22"/>
        </w:rPr>
        <w:t>Project Title:</w:t>
      </w:r>
      <w:r w:rsidRPr="00242518">
        <w:rPr>
          <w:sz w:val="22"/>
          <w:szCs w:val="22"/>
        </w:rPr>
        <w:t xml:space="preserve"> Public Utilities Commission of Nevada State Damage Prevention Grant</w:t>
      </w:r>
    </w:p>
    <w:p w:rsidR="00287C8E" w:rsidRPr="00242518" w:rsidRDefault="00287C8E" w:rsidP="00287C8E">
      <w:pPr>
        <w:rPr>
          <w:b/>
          <w:sz w:val="20"/>
          <w:szCs w:val="22"/>
        </w:rPr>
      </w:pPr>
      <w:r w:rsidRPr="00242518">
        <w:rPr>
          <w:b/>
          <w:sz w:val="22"/>
          <w:szCs w:val="22"/>
        </w:rPr>
        <w:t xml:space="preserve">Date Submitted: </w:t>
      </w:r>
      <w:r w:rsidR="00356991">
        <w:rPr>
          <w:sz w:val="22"/>
          <w:szCs w:val="22"/>
        </w:rPr>
        <w:t>September 30</w:t>
      </w:r>
      <w:r w:rsidRPr="00242518">
        <w:rPr>
          <w:sz w:val="22"/>
          <w:szCs w:val="22"/>
        </w:rPr>
        <w:t>, 2015</w:t>
      </w:r>
    </w:p>
    <w:p w:rsidR="007B7500" w:rsidRDefault="00287C8E" w:rsidP="00287C8E">
      <w:pPr>
        <w:rPr>
          <w:sz w:val="22"/>
          <w:szCs w:val="22"/>
        </w:rPr>
      </w:pPr>
      <w:r w:rsidRPr="00242518">
        <w:rPr>
          <w:b/>
          <w:sz w:val="22"/>
          <w:szCs w:val="22"/>
        </w:rPr>
        <w:t xml:space="preserve">Submitted by: </w:t>
      </w:r>
      <w:r w:rsidRPr="00242518">
        <w:rPr>
          <w:sz w:val="22"/>
          <w:szCs w:val="22"/>
        </w:rPr>
        <w:t>Dawn Rivard, Consumer Outreach Director</w:t>
      </w:r>
    </w:p>
    <w:p w:rsidR="00287C8E" w:rsidRDefault="00287C8E" w:rsidP="00287C8E">
      <w:pPr>
        <w:rPr>
          <w:sz w:val="22"/>
          <w:szCs w:val="22"/>
        </w:rPr>
      </w:pPr>
    </w:p>
    <w:p w:rsidR="00A3558A" w:rsidRPr="00242518" w:rsidRDefault="00A3558A" w:rsidP="00A3558A">
      <w:pPr>
        <w:rPr>
          <w:sz w:val="22"/>
          <w:szCs w:val="22"/>
        </w:rPr>
      </w:pPr>
    </w:p>
    <w:p w:rsidR="00A3558A" w:rsidRPr="00242518" w:rsidRDefault="00A3558A" w:rsidP="00A3558A">
      <w:pPr>
        <w:pStyle w:val="Default"/>
        <w:rPr>
          <w:b/>
          <w:bCs/>
          <w:sz w:val="22"/>
          <w:szCs w:val="22"/>
        </w:rPr>
      </w:pPr>
      <w:r w:rsidRPr="00242518">
        <w:rPr>
          <w:b/>
          <w:bCs/>
          <w:sz w:val="22"/>
          <w:szCs w:val="22"/>
        </w:rPr>
        <w:t xml:space="preserve">Specific Objective(s) of the Agreement </w:t>
      </w:r>
    </w:p>
    <w:p w:rsidR="00EB4596" w:rsidRDefault="00EB4596" w:rsidP="00EB4596">
      <w:pPr>
        <w:pStyle w:val="Default"/>
        <w:rPr>
          <w:bCs/>
          <w:i/>
          <w:sz w:val="22"/>
          <w:szCs w:val="22"/>
        </w:rPr>
      </w:pPr>
    </w:p>
    <w:p w:rsidR="00EB4596" w:rsidRDefault="00EB4596" w:rsidP="00EB4596">
      <w:pPr>
        <w:pStyle w:val="Default"/>
        <w:rPr>
          <w:bCs/>
          <w:i/>
          <w:sz w:val="22"/>
          <w:szCs w:val="22"/>
        </w:rPr>
      </w:pPr>
      <w:r w:rsidRPr="009217F8">
        <w:rPr>
          <w:bCs/>
          <w:i/>
          <w:sz w:val="22"/>
          <w:szCs w:val="22"/>
        </w:rPr>
        <w:t>[</w:t>
      </w:r>
      <w:r>
        <w:rPr>
          <w:bCs/>
          <w:i/>
          <w:sz w:val="22"/>
          <w:szCs w:val="22"/>
        </w:rPr>
        <w:t>C</w:t>
      </w:r>
      <w:r w:rsidRPr="009217F8">
        <w:rPr>
          <w:bCs/>
          <w:i/>
          <w:sz w:val="22"/>
          <w:szCs w:val="22"/>
        </w:rPr>
        <w:t xml:space="preserve">ut and paste from </w:t>
      </w:r>
      <w:r>
        <w:rPr>
          <w:bCs/>
          <w:i/>
          <w:sz w:val="22"/>
          <w:szCs w:val="22"/>
        </w:rPr>
        <w:t xml:space="preserve">Article II, </w:t>
      </w:r>
      <w:r w:rsidRPr="001D1901">
        <w:rPr>
          <w:bCs/>
          <w:i/>
          <w:sz w:val="22"/>
          <w:szCs w:val="22"/>
          <w:u w:val="single"/>
        </w:rPr>
        <w:t>Section 2.03</w:t>
      </w:r>
      <w:r w:rsidRPr="009217F8">
        <w:rPr>
          <w:bCs/>
          <w:i/>
          <w:sz w:val="22"/>
          <w:szCs w:val="22"/>
        </w:rPr>
        <w:t xml:space="preserve"> of </w:t>
      </w:r>
      <w:r>
        <w:rPr>
          <w:bCs/>
          <w:i/>
          <w:sz w:val="22"/>
          <w:szCs w:val="22"/>
        </w:rPr>
        <w:t xml:space="preserve">your </w:t>
      </w:r>
      <w:r w:rsidRPr="009217F8">
        <w:rPr>
          <w:bCs/>
          <w:i/>
          <w:sz w:val="22"/>
          <w:szCs w:val="22"/>
        </w:rPr>
        <w:t>agreement</w:t>
      </w:r>
      <w:r>
        <w:rPr>
          <w:bCs/>
          <w:i/>
          <w:sz w:val="22"/>
          <w:szCs w:val="22"/>
        </w:rPr>
        <w:t>.</w:t>
      </w:r>
      <w:r w:rsidRPr="009217F8">
        <w:rPr>
          <w:bCs/>
          <w:i/>
          <w:sz w:val="22"/>
          <w:szCs w:val="22"/>
        </w:rPr>
        <w:t>]</w:t>
      </w:r>
    </w:p>
    <w:p w:rsidR="00FA226E" w:rsidRDefault="00FA226E" w:rsidP="00FA226E">
      <w:pPr>
        <w:pStyle w:val="Default"/>
        <w:ind w:left="720"/>
        <w:rPr>
          <w:sz w:val="22"/>
          <w:szCs w:val="22"/>
        </w:rPr>
      </w:pPr>
    </w:p>
    <w:p w:rsidR="00A3558A" w:rsidRPr="005A6487" w:rsidRDefault="00A3558A" w:rsidP="00A3558A">
      <w:pPr>
        <w:pStyle w:val="Default"/>
        <w:numPr>
          <w:ilvl w:val="0"/>
          <w:numId w:val="2"/>
        </w:numPr>
        <w:rPr>
          <w:sz w:val="22"/>
          <w:szCs w:val="22"/>
        </w:rPr>
      </w:pPr>
      <w:r w:rsidRPr="005A6487">
        <w:rPr>
          <w:sz w:val="22"/>
          <w:szCs w:val="22"/>
        </w:rPr>
        <w:t>Support Public Awareness and Stakeholder Education</w:t>
      </w:r>
    </w:p>
    <w:p w:rsidR="00A3558A" w:rsidRPr="00242518" w:rsidRDefault="00A3558A" w:rsidP="00A3558A">
      <w:pPr>
        <w:pStyle w:val="Default"/>
        <w:rPr>
          <w:b/>
          <w:color w:val="auto"/>
        </w:rPr>
      </w:pPr>
    </w:p>
    <w:p w:rsidR="00A3558A" w:rsidRPr="00242518" w:rsidRDefault="00A3558A" w:rsidP="00A3558A">
      <w:pPr>
        <w:pStyle w:val="Default"/>
        <w:rPr>
          <w:b/>
          <w:bCs/>
          <w:sz w:val="22"/>
          <w:szCs w:val="22"/>
        </w:rPr>
      </w:pPr>
      <w:r w:rsidRPr="00242518">
        <w:rPr>
          <w:b/>
          <w:bCs/>
          <w:sz w:val="22"/>
          <w:szCs w:val="22"/>
        </w:rPr>
        <w:t>Workscope</w:t>
      </w:r>
    </w:p>
    <w:p w:rsidR="00EB4596" w:rsidRDefault="00EB4596" w:rsidP="00EB4596">
      <w:pPr>
        <w:rPr>
          <w:i/>
        </w:rPr>
      </w:pPr>
    </w:p>
    <w:p w:rsidR="00EB4596" w:rsidRPr="006116D1" w:rsidRDefault="00EB4596" w:rsidP="00EB4596">
      <w:pPr>
        <w:rPr>
          <w:i/>
        </w:rPr>
      </w:pPr>
      <w:r w:rsidRPr="006116D1">
        <w:rPr>
          <w:i/>
        </w:rPr>
        <w:t>[</w:t>
      </w:r>
      <w:r>
        <w:rPr>
          <w:i/>
        </w:rPr>
        <w:t>C</w:t>
      </w:r>
      <w:r w:rsidRPr="006116D1">
        <w:rPr>
          <w:i/>
        </w:rPr>
        <w:t xml:space="preserve">ut and paste from </w:t>
      </w:r>
      <w:r w:rsidRPr="001D1901">
        <w:rPr>
          <w:i/>
          <w:u w:val="single"/>
        </w:rPr>
        <w:t>Article III. Workscope</w:t>
      </w:r>
      <w:r w:rsidRPr="006116D1">
        <w:rPr>
          <w:i/>
        </w:rPr>
        <w:t xml:space="preserve"> of</w:t>
      </w:r>
      <w:r>
        <w:rPr>
          <w:i/>
        </w:rPr>
        <w:t xml:space="preserve"> your</w:t>
      </w:r>
      <w:r w:rsidRPr="006116D1">
        <w:rPr>
          <w:i/>
        </w:rPr>
        <w:t xml:space="preserve"> agreement</w:t>
      </w:r>
      <w:r>
        <w:rPr>
          <w:i/>
        </w:rPr>
        <w:t>.</w:t>
      </w:r>
      <w:r w:rsidRPr="006116D1">
        <w:rPr>
          <w:i/>
        </w:rPr>
        <w:t>]</w:t>
      </w:r>
    </w:p>
    <w:p w:rsidR="004C08C1" w:rsidRPr="00242518" w:rsidRDefault="004C08C1" w:rsidP="004C08C1">
      <w:pPr>
        <w:autoSpaceDE w:val="0"/>
        <w:autoSpaceDN w:val="0"/>
        <w:adjustRightInd w:val="0"/>
        <w:rPr>
          <w:b/>
        </w:rPr>
      </w:pPr>
    </w:p>
    <w:p w:rsidR="00A3558A" w:rsidRPr="005A6487" w:rsidRDefault="00A3558A" w:rsidP="00A3558A">
      <w:pPr>
        <w:pStyle w:val="ListParagraph"/>
        <w:numPr>
          <w:ilvl w:val="0"/>
          <w:numId w:val="1"/>
        </w:numPr>
        <w:autoSpaceDE w:val="0"/>
        <w:autoSpaceDN w:val="0"/>
        <w:adjustRightInd w:val="0"/>
        <w:rPr>
          <w:sz w:val="22"/>
          <w:szCs w:val="22"/>
        </w:rPr>
      </w:pPr>
      <w:r w:rsidRPr="005A6487">
        <w:rPr>
          <w:b/>
          <w:bCs/>
          <w:sz w:val="22"/>
          <w:szCs w:val="22"/>
        </w:rPr>
        <w:t xml:space="preserve">Element 5 (Public Education): </w:t>
      </w:r>
      <w:r w:rsidRPr="005A6487">
        <w:rPr>
          <w:sz w:val="22"/>
          <w:szCs w:val="22"/>
        </w:rPr>
        <w:t>A process for fostering and ensuring active participation by all stakeholders in public education for damage prevention activities.</w:t>
      </w:r>
    </w:p>
    <w:p w:rsidR="00A3558A" w:rsidRPr="00242518" w:rsidRDefault="00A3558A" w:rsidP="00A3558A">
      <w:pPr>
        <w:pStyle w:val="Default"/>
        <w:rPr>
          <w:sz w:val="22"/>
          <w:szCs w:val="22"/>
        </w:rPr>
      </w:pPr>
    </w:p>
    <w:p w:rsidR="00EF0D8D" w:rsidRDefault="00EF0D8D" w:rsidP="00EF0D8D">
      <w:pPr>
        <w:pStyle w:val="Default"/>
        <w:rPr>
          <w:sz w:val="22"/>
          <w:szCs w:val="22"/>
        </w:rPr>
      </w:pPr>
      <w:r>
        <w:rPr>
          <w:b/>
          <w:sz w:val="22"/>
          <w:szCs w:val="22"/>
        </w:rPr>
        <w:t>A</w:t>
      </w:r>
      <w:r w:rsidRPr="00E02038">
        <w:rPr>
          <w:b/>
          <w:sz w:val="22"/>
          <w:szCs w:val="22"/>
        </w:rPr>
        <w:t xml:space="preserve">ccomplishments </w:t>
      </w:r>
      <w:r>
        <w:rPr>
          <w:b/>
          <w:sz w:val="22"/>
          <w:szCs w:val="22"/>
        </w:rPr>
        <w:t xml:space="preserve">for the grant period (Item 1 under Agreement Article IX, </w:t>
      </w:r>
      <w:r w:rsidRPr="00721C44">
        <w:rPr>
          <w:b/>
          <w:sz w:val="22"/>
          <w:szCs w:val="22"/>
          <w:u w:val="single"/>
        </w:rPr>
        <w:t>Section 9.02 Final Report</w:t>
      </w:r>
      <w:r>
        <w:rPr>
          <w:b/>
          <w:sz w:val="22"/>
          <w:szCs w:val="22"/>
        </w:rPr>
        <w:t>: “</w:t>
      </w:r>
      <w:r w:rsidRPr="00A92A83">
        <w:rPr>
          <w:b/>
          <w:sz w:val="22"/>
          <w:szCs w:val="22"/>
        </w:rPr>
        <w:t>A comparison of actual accomplishments to the objectives established for the period.</w:t>
      </w:r>
      <w:r w:rsidRPr="001F01FB">
        <w:rPr>
          <w:b/>
          <w:sz w:val="22"/>
          <w:szCs w:val="22"/>
        </w:rPr>
        <w:t>”)</w:t>
      </w:r>
    </w:p>
    <w:p w:rsidR="004172E1" w:rsidRDefault="004172E1" w:rsidP="00A3558A"/>
    <w:p w:rsidR="00EF0D8D" w:rsidRPr="006116D1" w:rsidRDefault="00EF0D8D" w:rsidP="00EF0D8D">
      <w:pPr>
        <w:rPr>
          <w:i/>
        </w:rPr>
      </w:pPr>
      <w:r w:rsidRPr="006116D1">
        <w:rPr>
          <w:i/>
        </w:rPr>
        <w:t>[</w:t>
      </w:r>
      <w:r>
        <w:rPr>
          <w:i/>
        </w:rPr>
        <w:t>How did you progress on each of the items/elements provided in the “Specific Objectives” and “Workscope”?  How did your progress compare with established objectives? Start with an overall description followed by item-by-item or element-by-element detail if possible.</w:t>
      </w:r>
      <w:r w:rsidRPr="006116D1">
        <w:rPr>
          <w:i/>
        </w:rPr>
        <w:t>]</w:t>
      </w:r>
    </w:p>
    <w:p w:rsidR="00EF0D8D" w:rsidRDefault="00EF0D8D" w:rsidP="00A3558A"/>
    <w:p w:rsidR="00A3558A" w:rsidRPr="005A6487" w:rsidRDefault="00A3558A" w:rsidP="00A3558A">
      <w:r w:rsidRPr="005A6487">
        <w:t>The PUCN proposed to use funds from this grant to enhance homeowner knowledge of 811 through four initiatives/activities. Our progress with these initiatives is as follows.</w:t>
      </w:r>
    </w:p>
    <w:p w:rsidR="00A3558A" w:rsidRPr="005A6487" w:rsidRDefault="00A3558A" w:rsidP="00A3558A"/>
    <w:p w:rsidR="00A3558A" w:rsidRPr="005A6487" w:rsidRDefault="00A3558A" w:rsidP="001C2AF6">
      <w:pPr>
        <w:pStyle w:val="ListParagraph"/>
        <w:numPr>
          <w:ilvl w:val="0"/>
          <w:numId w:val="3"/>
        </w:numPr>
      </w:pPr>
      <w:r w:rsidRPr="005A6487">
        <w:rPr>
          <w:b/>
        </w:rPr>
        <w:t xml:space="preserve">Interactive Portable Dig Boxes: </w:t>
      </w:r>
      <w:r w:rsidRPr="005A6487">
        <w:t xml:space="preserve">The PUCN </w:t>
      </w:r>
      <w:r w:rsidR="004172E1" w:rsidRPr="005A6487">
        <w:t xml:space="preserve">contracted </w:t>
      </w:r>
      <w:r w:rsidRPr="005A6487">
        <w:t xml:space="preserve">a </w:t>
      </w:r>
      <w:r w:rsidR="004172E1" w:rsidRPr="005A6487">
        <w:t>tradeshow display</w:t>
      </w:r>
      <w:r w:rsidRPr="005A6487">
        <w:t xml:space="preserve"> vendor to </w:t>
      </w:r>
      <w:r w:rsidR="009820E3" w:rsidRPr="005A6487">
        <w:t>construct</w:t>
      </w:r>
      <w:r w:rsidRPr="005A6487">
        <w:t xml:space="preserve"> two interactive dig boxes</w:t>
      </w:r>
      <w:r w:rsidR="004172E1" w:rsidRPr="005A6487">
        <w:t xml:space="preserve"> </w:t>
      </w:r>
      <w:r w:rsidRPr="005A6487">
        <w:t>t</w:t>
      </w:r>
      <w:r w:rsidR="009820E3" w:rsidRPr="005A6487">
        <w:t>o</w:t>
      </w:r>
      <w:r w:rsidRPr="005A6487">
        <w:t xml:space="preserve"> </w:t>
      </w:r>
      <w:r w:rsidR="004172E1" w:rsidRPr="005A6487">
        <w:t>demonstrate</w:t>
      </w:r>
      <w:r w:rsidRPr="005A6487">
        <w:t xml:space="preserve"> why it’s </w:t>
      </w:r>
      <w:r w:rsidR="004172E1" w:rsidRPr="005A6487">
        <w:t>important to call</w:t>
      </w:r>
      <w:r w:rsidRPr="005A6487">
        <w:t xml:space="preserve"> 811 before beginning any digging project. Apple Rock delivered the boxes to the PUCN on April 24, 2015. </w:t>
      </w:r>
    </w:p>
    <w:p w:rsidR="003A066D" w:rsidRPr="005A6487" w:rsidRDefault="003A066D" w:rsidP="003A066D">
      <w:pPr>
        <w:pStyle w:val="ListParagraph"/>
      </w:pPr>
    </w:p>
    <w:p w:rsidR="00A3558A" w:rsidRPr="005A6487" w:rsidRDefault="00A3558A" w:rsidP="00A3558A">
      <w:pPr>
        <w:pStyle w:val="ListParagraph"/>
        <w:numPr>
          <w:ilvl w:val="0"/>
          <w:numId w:val="3"/>
        </w:numPr>
      </w:pPr>
      <w:r w:rsidRPr="005A6487">
        <w:rPr>
          <w:b/>
        </w:rPr>
        <w:t>Home Shows &amp; Community Events:</w:t>
      </w:r>
      <w:r w:rsidR="00E35F3F" w:rsidRPr="005A6487">
        <w:rPr>
          <w:b/>
        </w:rPr>
        <w:t xml:space="preserve"> </w:t>
      </w:r>
      <w:r w:rsidR="00E35F3F" w:rsidRPr="005A6487">
        <w:t>During the grant period, t</w:t>
      </w:r>
      <w:r w:rsidRPr="005A6487">
        <w:t xml:space="preserve">he PUCN </w:t>
      </w:r>
      <w:r w:rsidR="009820E3" w:rsidRPr="005A6487">
        <w:t>attended 1</w:t>
      </w:r>
      <w:r w:rsidR="005C2E28" w:rsidRPr="005A6487">
        <w:t>4</w:t>
      </w:r>
      <w:r w:rsidR="009820E3" w:rsidRPr="005A6487">
        <w:t xml:space="preserve"> community events and home shows</w:t>
      </w:r>
      <w:r w:rsidR="0078373D" w:rsidRPr="005A6487">
        <w:t xml:space="preserve"> at various locations</w:t>
      </w:r>
      <w:r w:rsidR="009820E3" w:rsidRPr="005A6487">
        <w:t xml:space="preserve"> </w:t>
      </w:r>
      <w:r w:rsidR="00A166CF" w:rsidRPr="005A6487">
        <w:t>across Nevada to discuss 811 and utility regulation with consumers</w:t>
      </w:r>
      <w:r w:rsidR="009820E3" w:rsidRPr="005A6487">
        <w:t xml:space="preserve">. </w:t>
      </w:r>
      <w:r w:rsidRPr="005A6487">
        <w:t xml:space="preserve">SDP grant funds </w:t>
      </w:r>
      <w:r w:rsidR="00A166CF" w:rsidRPr="005A6487">
        <w:t>paid</w:t>
      </w:r>
      <w:r w:rsidRPr="005A6487">
        <w:t xml:space="preserve"> for booth space at </w:t>
      </w:r>
      <w:r w:rsidR="00A166CF" w:rsidRPr="005A6487">
        <w:t xml:space="preserve">nine of the </w:t>
      </w:r>
      <w:r w:rsidRPr="005A6487">
        <w:t xml:space="preserve">home shows and community events </w:t>
      </w:r>
      <w:r w:rsidR="00A166CF" w:rsidRPr="005A6487">
        <w:t xml:space="preserve">(there was no admission fee for the other </w:t>
      </w:r>
      <w:r w:rsidR="005C2E28" w:rsidRPr="005A6487">
        <w:t>5</w:t>
      </w:r>
      <w:r w:rsidR="00A166CF" w:rsidRPr="005A6487">
        <w:t xml:space="preserve"> events)</w:t>
      </w:r>
      <w:r w:rsidRPr="005A6487">
        <w:t xml:space="preserve">. Below is a list of events attended </w:t>
      </w:r>
      <w:r w:rsidR="00A166CF" w:rsidRPr="005A6487">
        <w:t>during the grant period</w:t>
      </w:r>
      <w:r w:rsidRPr="005A6487">
        <w:t>.</w:t>
      </w:r>
    </w:p>
    <w:p w:rsidR="0078373D" w:rsidRPr="005A6487" w:rsidRDefault="0078373D" w:rsidP="0078373D"/>
    <w:p w:rsidR="0078373D" w:rsidRPr="005A6487" w:rsidRDefault="0078373D" w:rsidP="00A3558A">
      <w:pPr>
        <w:pStyle w:val="ListParagraph"/>
        <w:numPr>
          <w:ilvl w:val="1"/>
          <w:numId w:val="3"/>
        </w:numPr>
      </w:pPr>
      <w:bookmarkStart w:id="0" w:name="OLE_LINK1"/>
      <w:r w:rsidRPr="005A6487">
        <w:t>Beckley Elementary School Science Fair, Jan. 15, Las Vegas</w:t>
      </w:r>
    </w:p>
    <w:p w:rsidR="00A3558A" w:rsidRPr="005A6487" w:rsidRDefault="00A3558A" w:rsidP="00A3558A">
      <w:pPr>
        <w:pStyle w:val="ListParagraph"/>
        <w:numPr>
          <w:ilvl w:val="1"/>
          <w:numId w:val="3"/>
        </w:numPr>
      </w:pPr>
      <w:r w:rsidRPr="005A6487">
        <w:t>Winter Home Improvement &amp; Outdoor Living Expo,</w:t>
      </w:r>
      <w:r w:rsidR="00522ACD" w:rsidRPr="005A6487">
        <w:t xml:space="preserve"> Jan. 23 – 25, Las Vegas</w:t>
      </w:r>
    </w:p>
    <w:p w:rsidR="00A3558A" w:rsidRPr="005A6487" w:rsidRDefault="00A3558A" w:rsidP="00A3558A">
      <w:pPr>
        <w:pStyle w:val="ListParagraph"/>
        <w:numPr>
          <w:ilvl w:val="1"/>
          <w:numId w:val="3"/>
        </w:numPr>
        <w:rPr>
          <w:lang w:val="es-AR"/>
        </w:rPr>
      </w:pPr>
      <w:r w:rsidRPr="005A6487">
        <w:rPr>
          <w:lang w:val="es-AR"/>
        </w:rPr>
        <w:t>Home Expo Las Vegas, Feb. 27 – Mar. 1, Las Vegas</w:t>
      </w:r>
    </w:p>
    <w:p w:rsidR="00A3558A" w:rsidRPr="005A6487" w:rsidRDefault="00A3558A" w:rsidP="00A3558A">
      <w:pPr>
        <w:pStyle w:val="ListParagraph"/>
        <w:numPr>
          <w:ilvl w:val="1"/>
          <w:numId w:val="3"/>
        </w:numPr>
      </w:pPr>
      <w:r w:rsidRPr="005A6487">
        <w:t>Batterman Elementary School Career Fair, Mar. 11, Las Vegas</w:t>
      </w:r>
    </w:p>
    <w:p w:rsidR="00A3558A" w:rsidRPr="005A6487" w:rsidRDefault="00A3558A" w:rsidP="00A3558A">
      <w:pPr>
        <w:pStyle w:val="ListParagraph"/>
        <w:numPr>
          <w:ilvl w:val="1"/>
          <w:numId w:val="3"/>
        </w:numPr>
      </w:pPr>
      <w:r w:rsidRPr="005A6487">
        <w:t xml:space="preserve">Reno Home &amp; Garden </w:t>
      </w:r>
      <w:r w:rsidR="00522ACD" w:rsidRPr="005A6487">
        <w:t>Show, Mar. 20 – 22, Reno</w:t>
      </w:r>
    </w:p>
    <w:p w:rsidR="00A3558A" w:rsidRPr="005A6487" w:rsidRDefault="00A3558A" w:rsidP="00A3558A">
      <w:pPr>
        <w:pStyle w:val="ListParagraph"/>
        <w:numPr>
          <w:ilvl w:val="1"/>
          <w:numId w:val="3"/>
        </w:numPr>
      </w:pPr>
      <w:r w:rsidRPr="005A6487">
        <w:lastRenderedPageBreak/>
        <w:t>Spring Home Improvement &amp; Outdoor Living Expo,</w:t>
      </w:r>
      <w:r w:rsidR="00522ACD" w:rsidRPr="005A6487">
        <w:t xml:space="preserve"> Mar. 27 – 29, Las Vegas</w:t>
      </w:r>
    </w:p>
    <w:p w:rsidR="005C2E28" w:rsidRPr="005A6487" w:rsidRDefault="005C2E28" w:rsidP="00A3558A">
      <w:pPr>
        <w:pStyle w:val="ListParagraph"/>
        <w:numPr>
          <w:ilvl w:val="1"/>
          <w:numId w:val="3"/>
        </w:numPr>
      </w:pPr>
      <w:r w:rsidRPr="005A6487">
        <w:t>Solar NV Presentation, Mar. 16, Las Vegas</w:t>
      </w:r>
    </w:p>
    <w:p w:rsidR="000A0B64" w:rsidRPr="005A6487" w:rsidRDefault="000A0B64" w:rsidP="00A3558A">
      <w:pPr>
        <w:pStyle w:val="ListParagraph"/>
        <w:numPr>
          <w:ilvl w:val="1"/>
          <w:numId w:val="3"/>
        </w:numPr>
      </w:pPr>
      <w:r w:rsidRPr="005A6487">
        <w:t>National Lineman Appreciation Day, April 18, Las Vegas</w:t>
      </w:r>
    </w:p>
    <w:p w:rsidR="00A3558A" w:rsidRPr="005A6487" w:rsidRDefault="00A3558A" w:rsidP="00A3558A">
      <w:pPr>
        <w:pStyle w:val="ListParagraph"/>
        <w:numPr>
          <w:ilvl w:val="1"/>
          <w:numId w:val="3"/>
        </w:numPr>
      </w:pPr>
      <w:r w:rsidRPr="005A6487">
        <w:t>GREENFest, Apr. 25, Las Vegas</w:t>
      </w:r>
    </w:p>
    <w:p w:rsidR="008315DB" w:rsidRPr="005A6487" w:rsidRDefault="008315DB" w:rsidP="00A3558A">
      <w:pPr>
        <w:pStyle w:val="ListParagraph"/>
        <w:numPr>
          <w:ilvl w:val="1"/>
          <w:numId w:val="3"/>
        </w:numPr>
      </w:pPr>
      <w:r w:rsidRPr="005A6487">
        <w:t>Las Vegas Science &amp; Technology Festival, May 2, Las Vegas</w:t>
      </w:r>
    </w:p>
    <w:p w:rsidR="008315DB" w:rsidRPr="005A6487" w:rsidRDefault="008315DB" w:rsidP="00A3558A">
      <w:pPr>
        <w:pStyle w:val="ListParagraph"/>
        <w:numPr>
          <w:ilvl w:val="1"/>
          <w:numId w:val="3"/>
        </w:numPr>
      </w:pPr>
      <w:r w:rsidRPr="005A6487">
        <w:t>Elko Home &amp; Business Expo, May 9 – 10, Elko</w:t>
      </w:r>
    </w:p>
    <w:p w:rsidR="008315DB" w:rsidRPr="005A6487" w:rsidRDefault="008315DB" w:rsidP="00A3558A">
      <w:pPr>
        <w:pStyle w:val="ListParagraph"/>
        <w:numPr>
          <w:ilvl w:val="1"/>
          <w:numId w:val="3"/>
        </w:numPr>
      </w:pPr>
      <w:r w:rsidRPr="005A6487">
        <w:t>American Patriot Fest, May 16, North Las Vegas</w:t>
      </w:r>
    </w:p>
    <w:p w:rsidR="008315DB" w:rsidRPr="005A6487" w:rsidRDefault="008315DB" w:rsidP="00A3558A">
      <w:pPr>
        <w:pStyle w:val="ListParagraph"/>
        <w:numPr>
          <w:ilvl w:val="1"/>
          <w:numId w:val="3"/>
        </w:numPr>
      </w:pPr>
      <w:r w:rsidRPr="005A6487">
        <w:t>MGM Teacher Appreciation Day, Aug. 13, Las Vegas</w:t>
      </w:r>
    </w:p>
    <w:p w:rsidR="00A3558A" w:rsidRPr="005A6487" w:rsidRDefault="008315DB" w:rsidP="00667038">
      <w:pPr>
        <w:pStyle w:val="ListParagraph"/>
        <w:numPr>
          <w:ilvl w:val="1"/>
          <w:numId w:val="3"/>
        </w:numPr>
      </w:pPr>
      <w:r w:rsidRPr="005A6487">
        <w:t>Fall Home Improvement &amp; Backyard Expo, Sept. 11 – 13, Las Vegas</w:t>
      </w:r>
    </w:p>
    <w:bookmarkEnd w:id="0"/>
    <w:p w:rsidR="008315DB" w:rsidRPr="005A6487" w:rsidRDefault="008315DB" w:rsidP="008315DB">
      <w:pPr>
        <w:pStyle w:val="ListParagraph"/>
        <w:ind w:left="1440"/>
      </w:pPr>
    </w:p>
    <w:p w:rsidR="00A3558A" w:rsidRPr="005A6487" w:rsidRDefault="00A3558A" w:rsidP="00A3558A">
      <w:pPr>
        <w:pStyle w:val="ListParagraph"/>
        <w:numPr>
          <w:ilvl w:val="0"/>
          <w:numId w:val="3"/>
        </w:numPr>
      </w:pPr>
      <w:r w:rsidRPr="005A6487">
        <w:rPr>
          <w:b/>
        </w:rPr>
        <w:t>Homeowner’s Guide to Safe Digging:</w:t>
      </w:r>
      <w:r w:rsidRPr="005A6487">
        <w:t xml:space="preserve"> To explain the basics of safe digging and </w:t>
      </w:r>
      <w:r w:rsidR="00920045" w:rsidRPr="005A6487">
        <w:t>811</w:t>
      </w:r>
      <w:r w:rsidRPr="005A6487">
        <w:t>, the PUCN use</w:t>
      </w:r>
      <w:r w:rsidR="00FD1A57" w:rsidRPr="005A6487">
        <w:t>d</w:t>
      </w:r>
      <w:r w:rsidRPr="005A6487">
        <w:t xml:space="preserve"> SDP </w:t>
      </w:r>
      <w:r w:rsidR="00920045" w:rsidRPr="005A6487">
        <w:t xml:space="preserve">grant funds to develop a brochure titled, </w:t>
      </w:r>
      <w:r w:rsidRPr="005A6487">
        <w:t>“Homeowner’s Guide to Safe Digging in Nevada.” The PUCN print</w:t>
      </w:r>
      <w:r w:rsidR="00920045" w:rsidRPr="005A6487">
        <w:t>ed</w:t>
      </w:r>
      <w:r w:rsidRPr="005A6487">
        <w:t xml:space="preserve"> 5,000 English and 5,000 Spanish copies.</w:t>
      </w:r>
      <w:r w:rsidR="00920045" w:rsidRPr="005A6487">
        <w:t xml:space="preserve"> Grant funds were also used for the translation of the brochure from English to Spanish. In addition to distributing the brochure</w:t>
      </w:r>
      <w:r w:rsidRPr="005A6487">
        <w:t xml:space="preserve"> at home shows and community events</w:t>
      </w:r>
      <w:r w:rsidR="00920045" w:rsidRPr="005A6487">
        <w:t>, the h</w:t>
      </w:r>
      <w:r w:rsidRPr="005A6487">
        <w:t xml:space="preserve">ome improvement and gardening stores </w:t>
      </w:r>
      <w:r w:rsidR="00920045" w:rsidRPr="005A6487">
        <w:t>listed below have also agreed to display the brochures</w:t>
      </w:r>
      <w:r w:rsidR="00D42641" w:rsidRPr="005A6487">
        <w:t xml:space="preserve"> within their stores</w:t>
      </w:r>
      <w:r w:rsidRPr="005A6487">
        <w:t>.</w:t>
      </w:r>
      <w:r w:rsidR="00D42641" w:rsidRPr="005A6487">
        <w:t xml:space="preserve"> Gran</w:t>
      </w:r>
      <w:r w:rsidR="00662121">
        <w:t>t</w:t>
      </w:r>
      <w:bookmarkStart w:id="1" w:name="_GoBack"/>
      <w:bookmarkEnd w:id="1"/>
      <w:r w:rsidR="00D42641" w:rsidRPr="005A6487">
        <w:t xml:space="preserve"> funds were used to purchase cardboard brochure holders customized with the 811 logo. </w:t>
      </w:r>
      <w:r w:rsidR="00450F0B" w:rsidRPr="005A6487">
        <w:t>The PUCN mailed e</w:t>
      </w:r>
      <w:r w:rsidR="00D42641" w:rsidRPr="005A6487">
        <w:t>ach</w:t>
      </w:r>
      <w:r w:rsidR="00450F0B" w:rsidRPr="005A6487">
        <w:t xml:space="preserve"> store below two brochure holders and approximately 75 English and 75 Spanish brochures. Grant funds were also used to pay for shipping costs to the stores.</w:t>
      </w:r>
    </w:p>
    <w:tbl>
      <w:tblPr>
        <w:tblpPr w:leftFromText="180" w:rightFromText="180" w:vertAnchor="text" w:horzAnchor="margin" w:tblpXSpec="right" w:tblpY="170"/>
        <w:tblW w:w="8439" w:type="dxa"/>
        <w:tblLook w:val="04A0" w:firstRow="1" w:lastRow="0" w:firstColumn="1" w:lastColumn="0" w:noHBand="0" w:noVBand="1"/>
      </w:tblPr>
      <w:tblGrid>
        <w:gridCol w:w="2380"/>
        <w:gridCol w:w="3180"/>
        <w:gridCol w:w="1600"/>
        <w:gridCol w:w="606"/>
        <w:gridCol w:w="673"/>
      </w:tblGrid>
      <w:tr w:rsidR="00EA73EE" w:rsidRPr="005A6487" w:rsidTr="00EA73EE">
        <w:trPr>
          <w:trHeight w:val="255"/>
        </w:trPr>
        <w:tc>
          <w:tcPr>
            <w:tcW w:w="2380" w:type="dxa"/>
            <w:tcBorders>
              <w:top w:val="single" w:sz="8" w:space="0" w:color="auto"/>
              <w:left w:val="single" w:sz="8" w:space="0" w:color="auto"/>
              <w:bottom w:val="single" w:sz="8" w:space="0" w:color="auto"/>
              <w:right w:val="nil"/>
            </w:tcBorders>
            <w:shd w:val="clear" w:color="auto" w:fill="auto"/>
            <w:noWrap/>
            <w:vAlign w:val="bottom"/>
            <w:hideMark/>
          </w:tcPr>
          <w:p w:rsidR="00EA73EE" w:rsidRPr="005A6487" w:rsidRDefault="00EA73EE" w:rsidP="00EA73EE">
            <w:pPr>
              <w:rPr>
                <w:b/>
                <w:bCs/>
                <w:color w:val="000000"/>
                <w:sz w:val="18"/>
                <w:szCs w:val="18"/>
              </w:rPr>
            </w:pPr>
            <w:r w:rsidRPr="005A6487">
              <w:rPr>
                <w:b/>
                <w:bCs/>
                <w:color w:val="000000"/>
                <w:sz w:val="18"/>
                <w:szCs w:val="18"/>
              </w:rPr>
              <w:t>Store Name</w:t>
            </w:r>
          </w:p>
        </w:tc>
        <w:tc>
          <w:tcPr>
            <w:tcW w:w="31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A73EE" w:rsidRPr="005A6487" w:rsidRDefault="00EA73EE" w:rsidP="00EA73EE">
            <w:pPr>
              <w:rPr>
                <w:b/>
                <w:bCs/>
                <w:color w:val="000000"/>
                <w:sz w:val="18"/>
                <w:szCs w:val="18"/>
              </w:rPr>
            </w:pPr>
            <w:r w:rsidRPr="005A6487">
              <w:rPr>
                <w:b/>
                <w:bCs/>
                <w:color w:val="000000"/>
                <w:sz w:val="18"/>
                <w:szCs w:val="18"/>
              </w:rPr>
              <w:t>Address</w:t>
            </w:r>
          </w:p>
        </w:tc>
        <w:tc>
          <w:tcPr>
            <w:tcW w:w="1600" w:type="dxa"/>
            <w:tcBorders>
              <w:top w:val="single" w:sz="8" w:space="0" w:color="auto"/>
              <w:left w:val="nil"/>
              <w:bottom w:val="single" w:sz="8" w:space="0" w:color="auto"/>
              <w:right w:val="single" w:sz="4" w:space="0" w:color="auto"/>
            </w:tcBorders>
            <w:shd w:val="clear" w:color="auto" w:fill="auto"/>
            <w:noWrap/>
            <w:vAlign w:val="bottom"/>
            <w:hideMark/>
          </w:tcPr>
          <w:p w:rsidR="00EA73EE" w:rsidRPr="005A6487" w:rsidRDefault="00EA73EE" w:rsidP="00EA73EE">
            <w:pPr>
              <w:rPr>
                <w:b/>
                <w:bCs/>
                <w:color w:val="000000"/>
                <w:sz w:val="18"/>
                <w:szCs w:val="18"/>
              </w:rPr>
            </w:pPr>
            <w:r w:rsidRPr="005A6487">
              <w:rPr>
                <w:b/>
                <w:bCs/>
                <w:color w:val="000000"/>
                <w:sz w:val="18"/>
                <w:szCs w:val="18"/>
              </w:rPr>
              <w:t>City</w:t>
            </w:r>
          </w:p>
        </w:tc>
        <w:tc>
          <w:tcPr>
            <w:tcW w:w="606" w:type="dxa"/>
            <w:tcBorders>
              <w:top w:val="single" w:sz="8" w:space="0" w:color="auto"/>
              <w:left w:val="nil"/>
              <w:bottom w:val="single" w:sz="8" w:space="0" w:color="auto"/>
              <w:right w:val="single" w:sz="4" w:space="0" w:color="auto"/>
            </w:tcBorders>
            <w:shd w:val="clear" w:color="auto" w:fill="auto"/>
            <w:noWrap/>
            <w:vAlign w:val="bottom"/>
            <w:hideMark/>
          </w:tcPr>
          <w:p w:rsidR="00EA73EE" w:rsidRPr="005A6487" w:rsidRDefault="00EA73EE" w:rsidP="00EA73EE">
            <w:pPr>
              <w:rPr>
                <w:b/>
                <w:bCs/>
                <w:color w:val="000000"/>
                <w:sz w:val="18"/>
                <w:szCs w:val="18"/>
              </w:rPr>
            </w:pPr>
            <w:r w:rsidRPr="005A6487">
              <w:rPr>
                <w:b/>
                <w:bCs/>
                <w:color w:val="000000"/>
                <w:sz w:val="18"/>
                <w:szCs w:val="18"/>
              </w:rPr>
              <w:t>State</w:t>
            </w:r>
          </w:p>
        </w:tc>
        <w:tc>
          <w:tcPr>
            <w:tcW w:w="673" w:type="dxa"/>
            <w:tcBorders>
              <w:top w:val="single" w:sz="8" w:space="0" w:color="auto"/>
              <w:left w:val="nil"/>
              <w:bottom w:val="single" w:sz="8" w:space="0" w:color="auto"/>
              <w:right w:val="single" w:sz="4" w:space="0" w:color="auto"/>
            </w:tcBorders>
            <w:shd w:val="clear" w:color="auto" w:fill="auto"/>
            <w:noWrap/>
            <w:vAlign w:val="bottom"/>
            <w:hideMark/>
          </w:tcPr>
          <w:p w:rsidR="00EA73EE" w:rsidRPr="005A6487" w:rsidRDefault="00EA73EE" w:rsidP="00EA73EE">
            <w:pPr>
              <w:rPr>
                <w:b/>
                <w:bCs/>
                <w:color w:val="000000"/>
                <w:sz w:val="18"/>
                <w:szCs w:val="18"/>
              </w:rPr>
            </w:pPr>
            <w:r w:rsidRPr="005A6487">
              <w:rPr>
                <w:b/>
                <w:bCs/>
                <w:color w:val="000000"/>
                <w:sz w:val="18"/>
                <w:szCs w:val="18"/>
              </w:rPr>
              <w:t>ZIP</w:t>
            </w:r>
          </w:p>
        </w:tc>
      </w:tr>
      <w:tr w:rsidR="00845AF7" w:rsidRPr="005A6487" w:rsidTr="00845AF7">
        <w:trPr>
          <w:trHeight w:val="300"/>
        </w:trPr>
        <w:tc>
          <w:tcPr>
            <w:tcW w:w="2380" w:type="dxa"/>
            <w:tcBorders>
              <w:top w:val="nil"/>
              <w:left w:val="single" w:sz="8" w:space="0" w:color="auto"/>
              <w:bottom w:val="single" w:sz="8" w:space="0" w:color="auto"/>
              <w:right w:val="nil"/>
            </w:tcBorders>
            <w:shd w:val="clear" w:color="auto" w:fill="auto"/>
            <w:vAlign w:val="bottom"/>
            <w:hideMark/>
          </w:tcPr>
          <w:p w:rsidR="00EA73EE" w:rsidRPr="005A6487" w:rsidRDefault="00EA73EE" w:rsidP="00EA73EE">
            <w:pPr>
              <w:rPr>
                <w:color w:val="000000"/>
                <w:sz w:val="18"/>
                <w:szCs w:val="18"/>
              </w:rPr>
            </w:pPr>
            <w:r w:rsidRPr="005A6487">
              <w:rPr>
                <w:color w:val="000000"/>
                <w:sz w:val="18"/>
                <w:szCs w:val="18"/>
              </w:rPr>
              <w:t>GreenHouse Garden Center</w:t>
            </w:r>
          </w:p>
        </w:tc>
        <w:tc>
          <w:tcPr>
            <w:tcW w:w="3180" w:type="dxa"/>
            <w:tcBorders>
              <w:top w:val="nil"/>
              <w:left w:val="single" w:sz="8" w:space="0" w:color="auto"/>
              <w:bottom w:val="single" w:sz="8"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2450 S. Curry St.</w:t>
            </w:r>
          </w:p>
        </w:tc>
        <w:tc>
          <w:tcPr>
            <w:tcW w:w="1600" w:type="dxa"/>
            <w:tcBorders>
              <w:top w:val="nil"/>
              <w:left w:val="nil"/>
              <w:bottom w:val="single" w:sz="8"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Carson city</w:t>
            </w:r>
          </w:p>
        </w:tc>
        <w:tc>
          <w:tcPr>
            <w:tcW w:w="606" w:type="dxa"/>
            <w:tcBorders>
              <w:top w:val="nil"/>
              <w:left w:val="nil"/>
              <w:bottom w:val="single" w:sz="8"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8"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89703</w:t>
            </w:r>
          </w:p>
        </w:tc>
      </w:tr>
      <w:tr w:rsidR="00845AF7" w:rsidRPr="005A6487" w:rsidTr="00845AF7">
        <w:trPr>
          <w:trHeight w:val="240"/>
        </w:trPr>
        <w:tc>
          <w:tcPr>
            <w:tcW w:w="2380" w:type="dxa"/>
            <w:tcBorders>
              <w:top w:val="nil"/>
              <w:left w:val="single" w:sz="8" w:space="0" w:color="auto"/>
              <w:bottom w:val="single" w:sz="4"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Ace Hardware</w:t>
            </w:r>
          </w:p>
        </w:tc>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263 Spring Valley Pkwy #K</w:t>
            </w:r>
          </w:p>
        </w:tc>
        <w:tc>
          <w:tcPr>
            <w:tcW w:w="1600"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Spring Creek</w:t>
            </w:r>
          </w:p>
        </w:tc>
        <w:tc>
          <w:tcPr>
            <w:tcW w:w="606"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89815</w:t>
            </w:r>
          </w:p>
        </w:tc>
      </w:tr>
      <w:tr w:rsidR="00845AF7" w:rsidRPr="005A6487" w:rsidTr="00845AF7">
        <w:trPr>
          <w:trHeight w:val="240"/>
        </w:trPr>
        <w:tc>
          <w:tcPr>
            <w:tcW w:w="2380" w:type="dxa"/>
            <w:tcBorders>
              <w:top w:val="nil"/>
              <w:left w:val="single" w:sz="8" w:space="0" w:color="auto"/>
              <w:bottom w:val="single" w:sz="4"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Ace Hardware</w:t>
            </w:r>
          </w:p>
        </w:tc>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1406 Industrial Way</w:t>
            </w:r>
          </w:p>
        </w:tc>
        <w:tc>
          <w:tcPr>
            <w:tcW w:w="1600"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Gardnerville</w:t>
            </w:r>
          </w:p>
        </w:tc>
        <w:tc>
          <w:tcPr>
            <w:tcW w:w="606"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89410</w:t>
            </w:r>
          </w:p>
        </w:tc>
      </w:tr>
      <w:tr w:rsidR="00845AF7" w:rsidRPr="005A6487" w:rsidTr="00845AF7">
        <w:trPr>
          <w:trHeight w:val="240"/>
        </w:trPr>
        <w:tc>
          <w:tcPr>
            <w:tcW w:w="2380" w:type="dxa"/>
            <w:tcBorders>
              <w:top w:val="nil"/>
              <w:left w:val="single" w:sz="8" w:space="0" w:color="auto"/>
              <w:bottom w:val="single" w:sz="4"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Ace Hardware</w:t>
            </w:r>
          </w:p>
        </w:tc>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930 W. Winnemucca Blvd.</w:t>
            </w:r>
          </w:p>
        </w:tc>
        <w:tc>
          <w:tcPr>
            <w:tcW w:w="1600"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Winnemucca</w:t>
            </w:r>
          </w:p>
        </w:tc>
        <w:tc>
          <w:tcPr>
            <w:tcW w:w="606"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89445</w:t>
            </w:r>
          </w:p>
        </w:tc>
      </w:tr>
      <w:tr w:rsidR="00845AF7" w:rsidRPr="005A6487" w:rsidTr="00845AF7">
        <w:trPr>
          <w:trHeight w:val="240"/>
        </w:trPr>
        <w:tc>
          <w:tcPr>
            <w:tcW w:w="2380" w:type="dxa"/>
            <w:tcBorders>
              <w:top w:val="nil"/>
              <w:left w:val="single" w:sz="8" w:space="0" w:color="auto"/>
              <w:bottom w:val="single" w:sz="4"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Carter Bros Ace Hardware</w:t>
            </w:r>
          </w:p>
        </w:tc>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1215 S. Virginia St.</w:t>
            </w:r>
          </w:p>
        </w:tc>
        <w:tc>
          <w:tcPr>
            <w:tcW w:w="1600"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Reno</w:t>
            </w:r>
          </w:p>
        </w:tc>
        <w:tc>
          <w:tcPr>
            <w:tcW w:w="606"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89502</w:t>
            </w:r>
          </w:p>
        </w:tc>
      </w:tr>
      <w:tr w:rsidR="00845AF7" w:rsidRPr="005A6487" w:rsidTr="00845AF7">
        <w:trPr>
          <w:trHeight w:val="240"/>
        </w:trPr>
        <w:tc>
          <w:tcPr>
            <w:tcW w:w="2380" w:type="dxa"/>
            <w:tcBorders>
              <w:top w:val="nil"/>
              <w:left w:val="single" w:sz="4" w:space="0" w:color="auto"/>
              <w:bottom w:val="single" w:sz="4"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Ace Shopper Stopper</w:t>
            </w:r>
          </w:p>
        </w:tc>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541 Nevada Hwy</w:t>
            </w:r>
          </w:p>
        </w:tc>
        <w:tc>
          <w:tcPr>
            <w:tcW w:w="1600"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Boulder City</w:t>
            </w:r>
          </w:p>
        </w:tc>
        <w:tc>
          <w:tcPr>
            <w:tcW w:w="606"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89005</w:t>
            </w:r>
          </w:p>
        </w:tc>
      </w:tr>
      <w:tr w:rsidR="00845AF7" w:rsidRPr="005A6487" w:rsidTr="00845AF7">
        <w:trPr>
          <w:trHeight w:val="240"/>
        </w:trPr>
        <w:tc>
          <w:tcPr>
            <w:tcW w:w="2380" w:type="dxa"/>
            <w:tcBorders>
              <w:top w:val="nil"/>
              <w:left w:val="single" w:sz="8" w:space="0" w:color="auto"/>
              <w:bottom w:val="single" w:sz="4"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Star Nursery</w:t>
            </w:r>
          </w:p>
        </w:tc>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2600 W. Ann Road</w:t>
            </w:r>
          </w:p>
        </w:tc>
        <w:tc>
          <w:tcPr>
            <w:tcW w:w="1600"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North Las Vegas</w:t>
            </w:r>
          </w:p>
        </w:tc>
        <w:tc>
          <w:tcPr>
            <w:tcW w:w="606"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89031</w:t>
            </w:r>
          </w:p>
        </w:tc>
      </w:tr>
      <w:tr w:rsidR="00845AF7" w:rsidRPr="005A6487" w:rsidTr="00845AF7">
        <w:trPr>
          <w:trHeight w:val="240"/>
        </w:trPr>
        <w:tc>
          <w:tcPr>
            <w:tcW w:w="2380" w:type="dxa"/>
            <w:tcBorders>
              <w:top w:val="nil"/>
              <w:left w:val="single" w:sz="8" w:space="0" w:color="auto"/>
              <w:bottom w:val="single" w:sz="4"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Star Nursery</w:t>
            </w:r>
          </w:p>
        </w:tc>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7330 W. Cheyenne Ave.</w:t>
            </w:r>
          </w:p>
        </w:tc>
        <w:tc>
          <w:tcPr>
            <w:tcW w:w="1600"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Las Vegas</w:t>
            </w:r>
          </w:p>
        </w:tc>
        <w:tc>
          <w:tcPr>
            <w:tcW w:w="606"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89129</w:t>
            </w:r>
          </w:p>
        </w:tc>
      </w:tr>
      <w:tr w:rsidR="00845AF7" w:rsidRPr="005A6487" w:rsidTr="00845AF7">
        <w:trPr>
          <w:trHeight w:val="240"/>
        </w:trPr>
        <w:tc>
          <w:tcPr>
            <w:tcW w:w="2380" w:type="dxa"/>
            <w:tcBorders>
              <w:top w:val="nil"/>
              <w:left w:val="single" w:sz="8" w:space="0" w:color="auto"/>
              <w:bottom w:val="single" w:sz="4"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Star Nursery</w:t>
            </w:r>
          </w:p>
        </w:tc>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8170 W. Charleston Blvd.</w:t>
            </w:r>
          </w:p>
        </w:tc>
        <w:tc>
          <w:tcPr>
            <w:tcW w:w="1600"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Las Vegas</w:t>
            </w:r>
          </w:p>
        </w:tc>
        <w:tc>
          <w:tcPr>
            <w:tcW w:w="606"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89117</w:t>
            </w:r>
          </w:p>
        </w:tc>
      </w:tr>
      <w:tr w:rsidR="00845AF7" w:rsidRPr="005A6487" w:rsidTr="00845AF7">
        <w:trPr>
          <w:trHeight w:val="240"/>
        </w:trPr>
        <w:tc>
          <w:tcPr>
            <w:tcW w:w="2380" w:type="dxa"/>
            <w:tcBorders>
              <w:top w:val="nil"/>
              <w:left w:val="single" w:sz="8" w:space="0" w:color="auto"/>
              <w:bottom w:val="single" w:sz="4"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Star Nursery</w:t>
            </w:r>
          </w:p>
        </w:tc>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9480 W. Tropicana Ave.</w:t>
            </w:r>
          </w:p>
        </w:tc>
        <w:tc>
          <w:tcPr>
            <w:tcW w:w="1600"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Las Vegas</w:t>
            </w:r>
          </w:p>
        </w:tc>
        <w:tc>
          <w:tcPr>
            <w:tcW w:w="606"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89147</w:t>
            </w:r>
          </w:p>
        </w:tc>
      </w:tr>
      <w:tr w:rsidR="00845AF7" w:rsidRPr="005A6487" w:rsidTr="00845AF7">
        <w:trPr>
          <w:trHeight w:val="240"/>
        </w:trPr>
        <w:tc>
          <w:tcPr>
            <w:tcW w:w="2380" w:type="dxa"/>
            <w:tcBorders>
              <w:top w:val="nil"/>
              <w:left w:val="single" w:sz="8" w:space="0" w:color="auto"/>
              <w:bottom w:val="single" w:sz="4"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Star Nursery</w:t>
            </w:r>
          </w:p>
        </w:tc>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5340 Boulder Highway</w:t>
            </w:r>
          </w:p>
        </w:tc>
        <w:tc>
          <w:tcPr>
            <w:tcW w:w="1600"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Las Vegas</w:t>
            </w:r>
          </w:p>
        </w:tc>
        <w:tc>
          <w:tcPr>
            <w:tcW w:w="606"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89122</w:t>
            </w:r>
          </w:p>
        </w:tc>
      </w:tr>
      <w:tr w:rsidR="00845AF7" w:rsidRPr="005A6487" w:rsidTr="00845AF7">
        <w:trPr>
          <w:trHeight w:val="240"/>
        </w:trPr>
        <w:tc>
          <w:tcPr>
            <w:tcW w:w="2380" w:type="dxa"/>
            <w:tcBorders>
              <w:top w:val="nil"/>
              <w:left w:val="single" w:sz="8" w:space="0" w:color="auto"/>
              <w:bottom w:val="single" w:sz="4"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Star Nursery</w:t>
            </w:r>
          </w:p>
        </w:tc>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8725 S. Eastern Ave.</w:t>
            </w:r>
          </w:p>
        </w:tc>
        <w:tc>
          <w:tcPr>
            <w:tcW w:w="1600"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Las Vegas</w:t>
            </w:r>
          </w:p>
        </w:tc>
        <w:tc>
          <w:tcPr>
            <w:tcW w:w="606"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89123</w:t>
            </w:r>
          </w:p>
        </w:tc>
      </w:tr>
      <w:tr w:rsidR="00845AF7" w:rsidRPr="005A6487" w:rsidTr="00845AF7">
        <w:trPr>
          <w:trHeight w:val="240"/>
        </w:trPr>
        <w:tc>
          <w:tcPr>
            <w:tcW w:w="2380" w:type="dxa"/>
            <w:tcBorders>
              <w:top w:val="nil"/>
              <w:left w:val="single" w:sz="8" w:space="0" w:color="auto"/>
              <w:bottom w:val="single" w:sz="4"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Star Nursery</w:t>
            </w:r>
          </w:p>
        </w:tc>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5380 Blue Diamond Road</w:t>
            </w:r>
          </w:p>
        </w:tc>
        <w:tc>
          <w:tcPr>
            <w:tcW w:w="1600"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Las Vegas</w:t>
            </w:r>
          </w:p>
        </w:tc>
        <w:tc>
          <w:tcPr>
            <w:tcW w:w="606"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89139</w:t>
            </w:r>
          </w:p>
        </w:tc>
      </w:tr>
      <w:tr w:rsidR="00845AF7" w:rsidRPr="005A6487" w:rsidTr="00845AF7">
        <w:trPr>
          <w:trHeight w:val="240"/>
        </w:trPr>
        <w:tc>
          <w:tcPr>
            <w:tcW w:w="2380" w:type="dxa"/>
            <w:tcBorders>
              <w:top w:val="nil"/>
              <w:left w:val="single" w:sz="8" w:space="0" w:color="auto"/>
              <w:bottom w:val="single" w:sz="4"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Star Nursery</w:t>
            </w:r>
          </w:p>
        </w:tc>
        <w:tc>
          <w:tcPr>
            <w:tcW w:w="3180" w:type="dxa"/>
            <w:tcBorders>
              <w:top w:val="nil"/>
              <w:left w:val="single" w:sz="8" w:space="0" w:color="auto"/>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911 Buol Road</w:t>
            </w:r>
          </w:p>
        </w:tc>
        <w:tc>
          <w:tcPr>
            <w:tcW w:w="1600"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 xml:space="preserve">Pahrump </w:t>
            </w:r>
          </w:p>
        </w:tc>
        <w:tc>
          <w:tcPr>
            <w:tcW w:w="606"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4"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89048</w:t>
            </w:r>
          </w:p>
        </w:tc>
      </w:tr>
      <w:tr w:rsidR="00845AF7" w:rsidRPr="005A6487" w:rsidTr="00845AF7">
        <w:trPr>
          <w:trHeight w:val="255"/>
        </w:trPr>
        <w:tc>
          <w:tcPr>
            <w:tcW w:w="2380" w:type="dxa"/>
            <w:tcBorders>
              <w:top w:val="nil"/>
              <w:left w:val="single" w:sz="8" w:space="0" w:color="auto"/>
              <w:bottom w:val="single" w:sz="8" w:space="0" w:color="auto"/>
              <w:right w:val="nil"/>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Star Nursery</w:t>
            </w:r>
          </w:p>
        </w:tc>
        <w:tc>
          <w:tcPr>
            <w:tcW w:w="3180" w:type="dxa"/>
            <w:tcBorders>
              <w:top w:val="nil"/>
              <w:left w:val="single" w:sz="8" w:space="0" w:color="auto"/>
              <w:bottom w:val="single" w:sz="8"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549 Commerce Circle</w:t>
            </w:r>
          </w:p>
        </w:tc>
        <w:tc>
          <w:tcPr>
            <w:tcW w:w="1600" w:type="dxa"/>
            <w:tcBorders>
              <w:top w:val="nil"/>
              <w:left w:val="nil"/>
              <w:bottom w:val="single" w:sz="8"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Mesquite</w:t>
            </w:r>
          </w:p>
        </w:tc>
        <w:tc>
          <w:tcPr>
            <w:tcW w:w="606" w:type="dxa"/>
            <w:tcBorders>
              <w:top w:val="nil"/>
              <w:left w:val="nil"/>
              <w:bottom w:val="single" w:sz="8"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NV</w:t>
            </w:r>
          </w:p>
        </w:tc>
        <w:tc>
          <w:tcPr>
            <w:tcW w:w="673" w:type="dxa"/>
            <w:tcBorders>
              <w:top w:val="nil"/>
              <w:left w:val="nil"/>
              <w:bottom w:val="single" w:sz="8" w:space="0" w:color="auto"/>
              <w:right w:val="single" w:sz="4" w:space="0" w:color="auto"/>
            </w:tcBorders>
            <w:shd w:val="clear" w:color="auto" w:fill="auto"/>
            <w:noWrap/>
            <w:vAlign w:val="bottom"/>
            <w:hideMark/>
          </w:tcPr>
          <w:p w:rsidR="00EA73EE" w:rsidRPr="005A6487" w:rsidRDefault="00EA73EE" w:rsidP="00EA73EE">
            <w:pPr>
              <w:rPr>
                <w:color w:val="000000"/>
                <w:sz w:val="18"/>
                <w:szCs w:val="18"/>
              </w:rPr>
            </w:pPr>
            <w:r w:rsidRPr="005A6487">
              <w:rPr>
                <w:color w:val="000000"/>
                <w:sz w:val="18"/>
                <w:szCs w:val="18"/>
              </w:rPr>
              <w:t>89027</w:t>
            </w:r>
          </w:p>
        </w:tc>
      </w:tr>
    </w:tbl>
    <w:p w:rsidR="00EA73EE" w:rsidRPr="005A6487" w:rsidRDefault="00EA73EE" w:rsidP="00EA73EE"/>
    <w:p w:rsidR="00A3558A" w:rsidRPr="005A6487" w:rsidRDefault="00A3558A"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EA73EE" w:rsidRPr="005A6487" w:rsidRDefault="00EA73EE" w:rsidP="00A3558A">
      <w:pPr>
        <w:pStyle w:val="ListParagraph"/>
      </w:pPr>
    </w:p>
    <w:p w:rsidR="00A3558A" w:rsidRPr="005A6487" w:rsidRDefault="00A3558A" w:rsidP="00A3558A">
      <w:pPr>
        <w:pStyle w:val="ListParagraph"/>
        <w:numPr>
          <w:ilvl w:val="0"/>
          <w:numId w:val="3"/>
        </w:numPr>
      </w:pPr>
      <w:r w:rsidRPr="005A6487">
        <w:rPr>
          <w:b/>
        </w:rPr>
        <w:t>Educational Items:</w:t>
      </w:r>
      <w:r w:rsidRPr="005A6487">
        <w:t xml:space="preserve"> To reinforce the safe digging message at home shows and community events, the PUCN</w:t>
      </w:r>
      <w:r w:rsidR="00FC31EC" w:rsidRPr="005A6487">
        <w:t xml:space="preserve"> used </w:t>
      </w:r>
      <w:r w:rsidRPr="005A6487">
        <w:t>SDP grant funds to purchase: 1,000 yellow and 1,000 pink plastic hard hats for children; 2,000 plastic bags imprinted with the 811 and PUCN logos; and 811 and PUCN-logo stickers to affix to the hats for messaging</w:t>
      </w:r>
      <w:r w:rsidR="0029360A" w:rsidRPr="005A6487">
        <w:t xml:space="preserve"> </w:t>
      </w:r>
      <w:r w:rsidRPr="005A6487">
        <w:t>purposes.</w:t>
      </w:r>
      <w:r w:rsidR="00FC31EC" w:rsidRPr="005A6487">
        <w:t xml:space="preserve"> The hats proved to be </w:t>
      </w:r>
      <w:r w:rsidRPr="005A6487">
        <w:t>very popular at events. Kids</w:t>
      </w:r>
      <w:r w:rsidR="00FC31EC" w:rsidRPr="005A6487">
        <w:t xml:space="preserve"> would</w:t>
      </w:r>
      <w:r w:rsidRPr="005A6487">
        <w:t xml:space="preserve"> see other kids wearing the hats at events and seek out our booth to get </w:t>
      </w:r>
      <w:r w:rsidR="00FC31EC" w:rsidRPr="005A6487">
        <w:t>a hat of their own</w:t>
      </w:r>
      <w:r w:rsidRPr="005A6487">
        <w:t>!</w:t>
      </w:r>
    </w:p>
    <w:p w:rsidR="00A3558A" w:rsidRPr="00242518" w:rsidRDefault="00A3558A" w:rsidP="00A3558A">
      <w:pPr>
        <w:pStyle w:val="Default"/>
        <w:rPr>
          <w:sz w:val="22"/>
          <w:szCs w:val="22"/>
        </w:rPr>
      </w:pPr>
    </w:p>
    <w:p w:rsidR="003A066D" w:rsidRDefault="003A066D" w:rsidP="003A066D">
      <w:pPr>
        <w:pStyle w:val="Default"/>
        <w:rPr>
          <w:b/>
          <w:sz w:val="22"/>
          <w:szCs w:val="22"/>
        </w:rPr>
      </w:pPr>
      <w:r>
        <w:rPr>
          <w:b/>
          <w:sz w:val="22"/>
          <w:szCs w:val="22"/>
        </w:rPr>
        <w:t xml:space="preserve">Quantifiable Metrics/Measures of Effectiveness (Item 2 under Article IX, </w:t>
      </w:r>
      <w:r w:rsidRPr="001D1901">
        <w:rPr>
          <w:b/>
          <w:sz w:val="22"/>
          <w:szCs w:val="22"/>
          <w:u w:val="single"/>
        </w:rPr>
        <w:t>Section 9.0</w:t>
      </w:r>
      <w:r>
        <w:rPr>
          <w:b/>
          <w:sz w:val="22"/>
          <w:szCs w:val="22"/>
          <w:u w:val="single"/>
        </w:rPr>
        <w:t>2</w:t>
      </w:r>
      <w:r w:rsidRPr="001D1901">
        <w:rPr>
          <w:b/>
          <w:sz w:val="22"/>
          <w:szCs w:val="22"/>
          <w:u w:val="single"/>
        </w:rPr>
        <w:t xml:space="preserve"> </w:t>
      </w:r>
      <w:r w:rsidRPr="00520047">
        <w:rPr>
          <w:b/>
          <w:sz w:val="22"/>
          <w:szCs w:val="22"/>
          <w:u w:val="single"/>
        </w:rPr>
        <w:t xml:space="preserve">Final </w:t>
      </w:r>
      <w:r w:rsidRPr="001D1901">
        <w:rPr>
          <w:b/>
          <w:sz w:val="22"/>
          <w:szCs w:val="22"/>
          <w:u w:val="single"/>
        </w:rPr>
        <w:t>Report</w:t>
      </w:r>
      <w:r>
        <w:rPr>
          <w:b/>
          <w:sz w:val="22"/>
          <w:szCs w:val="22"/>
        </w:rPr>
        <w:t xml:space="preserve">: </w:t>
      </w:r>
      <w:r w:rsidRPr="002D621B">
        <w:rPr>
          <w:b/>
          <w:sz w:val="22"/>
          <w:szCs w:val="22"/>
        </w:rPr>
        <w:t xml:space="preserve">“Where the output of the project can be quantified, a computation of </w:t>
      </w:r>
      <w:r>
        <w:rPr>
          <w:b/>
          <w:sz w:val="22"/>
          <w:szCs w:val="22"/>
        </w:rPr>
        <w:t>the cost per unit of output.”</w:t>
      </w:r>
      <w:r w:rsidRPr="002D621B">
        <w:rPr>
          <w:b/>
          <w:sz w:val="22"/>
          <w:szCs w:val="22"/>
        </w:rPr>
        <w:t>)</w:t>
      </w:r>
    </w:p>
    <w:p w:rsidR="003A066D" w:rsidRDefault="003A066D" w:rsidP="003A066D">
      <w:pPr>
        <w:pStyle w:val="Default"/>
        <w:rPr>
          <w:sz w:val="22"/>
          <w:szCs w:val="22"/>
        </w:rPr>
      </w:pPr>
    </w:p>
    <w:p w:rsidR="003A066D" w:rsidRDefault="003A066D" w:rsidP="003A066D">
      <w:pPr>
        <w:pStyle w:val="Default"/>
        <w:rPr>
          <w:i/>
          <w:sz w:val="22"/>
          <w:szCs w:val="22"/>
        </w:rPr>
      </w:pPr>
      <w:r w:rsidRPr="00040D99">
        <w:rPr>
          <w:i/>
          <w:sz w:val="22"/>
          <w:szCs w:val="22"/>
        </w:rPr>
        <w:t xml:space="preserve">[This </w:t>
      </w:r>
      <w:r>
        <w:rPr>
          <w:i/>
          <w:sz w:val="22"/>
          <w:szCs w:val="22"/>
        </w:rPr>
        <w:t>may be</w:t>
      </w:r>
      <w:r w:rsidRPr="00040D99">
        <w:rPr>
          <w:i/>
          <w:sz w:val="22"/>
          <w:szCs w:val="22"/>
        </w:rPr>
        <w:t xml:space="preserve"> difficult to explain </w:t>
      </w:r>
      <w:r>
        <w:rPr>
          <w:i/>
          <w:sz w:val="22"/>
          <w:szCs w:val="22"/>
        </w:rPr>
        <w:t>for every grant project</w:t>
      </w:r>
      <w:r w:rsidRPr="00040D99">
        <w:rPr>
          <w:i/>
          <w:sz w:val="22"/>
          <w:szCs w:val="22"/>
        </w:rPr>
        <w:t xml:space="preserve">, but we’re trying to get a </w:t>
      </w:r>
      <w:r>
        <w:rPr>
          <w:i/>
          <w:sz w:val="22"/>
          <w:szCs w:val="22"/>
        </w:rPr>
        <w:t>sense of</w:t>
      </w:r>
      <w:r w:rsidRPr="00040D99">
        <w:rPr>
          <w:i/>
          <w:sz w:val="22"/>
          <w:szCs w:val="22"/>
        </w:rPr>
        <w:t xml:space="preserve"> how effective this grant wor</w:t>
      </w:r>
      <w:r>
        <w:rPr>
          <w:i/>
          <w:sz w:val="22"/>
          <w:szCs w:val="22"/>
        </w:rPr>
        <w:t>k has been</w:t>
      </w:r>
      <w:r w:rsidRPr="00040D99">
        <w:rPr>
          <w:i/>
          <w:sz w:val="22"/>
          <w:szCs w:val="22"/>
        </w:rPr>
        <w:t xml:space="preserve"> in improving your </w:t>
      </w:r>
      <w:r>
        <w:rPr>
          <w:i/>
          <w:sz w:val="22"/>
          <w:szCs w:val="22"/>
        </w:rPr>
        <w:t xml:space="preserve">damage prevention </w:t>
      </w:r>
      <w:r w:rsidRPr="00040D99">
        <w:rPr>
          <w:i/>
          <w:sz w:val="22"/>
          <w:szCs w:val="22"/>
        </w:rPr>
        <w:t xml:space="preserve">program.  If your grant is more data oriented, you likely had some sort of metrics in mind to improve upon.  If so, what were those metrics and how </w:t>
      </w:r>
      <w:r>
        <w:rPr>
          <w:i/>
          <w:sz w:val="22"/>
          <w:szCs w:val="22"/>
        </w:rPr>
        <w:t xml:space="preserve">does </w:t>
      </w:r>
      <w:r w:rsidRPr="00040D99">
        <w:rPr>
          <w:i/>
          <w:sz w:val="22"/>
          <w:szCs w:val="22"/>
        </w:rPr>
        <w:t xml:space="preserve">the data </w:t>
      </w:r>
      <w:r>
        <w:rPr>
          <w:i/>
          <w:sz w:val="22"/>
          <w:szCs w:val="22"/>
        </w:rPr>
        <w:t>look</w:t>
      </w:r>
      <w:r w:rsidRPr="00040D99">
        <w:rPr>
          <w:i/>
          <w:sz w:val="22"/>
          <w:szCs w:val="22"/>
        </w:rPr>
        <w:t xml:space="preserve"> now compared to when the program started?  If you’re doing something along the lines of enforcement that involves incident review, how many cases have you been able to review/close and/or fines collected compared to before the grant work?  If you </w:t>
      </w:r>
      <w:r>
        <w:rPr>
          <w:i/>
          <w:sz w:val="22"/>
          <w:szCs w:val="22"/>
        </w:rPr>
        <w:t>are working on</w:t>
      </w:r>
      <w:r w:rsidRPr="00040D99">
        <w:rPr>
          <w:i/>
          <w:sz w:val="22"/>
          <w:szCs w:val="22"/>
        </w:rPr>
        <w:t xml:space="preserve"> something more along the lines of public awareness, how many stakeholders have you been able to reach?  Even if </w:t>
      </w:r>
      <w:r>
        <w:rPr>
          <w:i/>
          <w:sz w:val="22"/>
          <w:szCs w:val="22"/>
        </w:rPr>
        <w:t>you</w:t>
      </w:r>
      <w:r w:rsidRPr="00040D99">
        <w:rPr>
          <w:i/>
          <w:sz w:val="22"/>
          <w:szCs w:val="22"/>
        </w:rPr>
        <w:t xml:space="preserve"> don’t have the metrics fully defined, put whatever you can here.]</w:t>
      </w:r>
    </w:p>
    <w:p w:rsidR="00A3558A" w:rsidRPr="00242518" w:rsidRDefault="00A3558A" w:rsidP="00A3558A">
      <w:pPr>
        <w:pStyle w:val="Default"/>
        <w:rPr>
          <w:sz w:val="22"/>
          <w:szCs w:val="22"/>
        </w:rPr>
      </w:pPr>
    </w:p>
    <w:p w:rsidR="00A3558A" w:rsidRDefault="00A3558A" w:rsidP="00A3558A">
      <w:pPr>
        <w:pStyle w:val="Default"/>
        <w:rPr>
          <w:sz w:val="22"/>
          <w:szCs w:val="22"/>
        </w:rPr>
      </w:pPr>
      <w:r w:rsidRPr="005A6487">
        <w:rPr>
          <w:sz w:val="22"/>
          <w:szCs w:val="22"/>
        </w:rPr>
        <w:t xml:space="preserve">The PUCN proposed to use SDP grant monies for the sole purpose of addressing Element 5, public education. </w:t>
      </w:r>
      <w:r w:rsidR="00283791" w:rsidRPr="005A6487">
        <w:rPr>
          <w:sz w:val="22"/>
          <w:szCs w:val="22"/>
        </w:rPr>
        <w:t xml:space="preserve">During the grant period, </w:t>
      </w:r>
      <w:r w:rsidRPr="005A6487">
        <w:rPr>
          <w:sz w:val="22"/>
          <w:szCs w:val="22"/>
        </w:rPr>
        <w:t xml:space="preserve">PUCN staff </w:t>
      </w:r>
      <w:r w:rsidR="00283791" w:rsidRPr="005A6487">
        <w:rPr>
          <w:sz w:val="22"/>
          <w:szCs w:val="22"/>
        </w:rPr>
        <w:t>w</w:t>
      </w:r>
      <w:r w:rsidRPr="005A6487">
        <w:rPr>
          <w:sz w:val="22"/>
          <w:szCs w:val="22"/>
        </w:rPr>
        <w:t xml:space="preserve">as able to reach approximately </w:t>
      </w:r>
      <w:r w:rsidR="0041254B" w:rsidRPr="005A6487">
        <w:rPr>
          <w:sz w:val="22"/>
          <w:szCs w:val="22"/>
        </w:rPr>
        <w:t>1,</w:t>
      </w:r>
      <w:r w:rsidR="004346C5" w:rsidRPr="005A6487">
        <w:rPr>
          <w:sz w:val="22"/>
          <w:szCs w:val="22"/>
        </w:rPr>
        <w:t>250</w:t>
      </w:r>
      <w:r w:rsidRPr="005A6487">
        <w:rPr>
          <w:sz w:val="22"/>
          <w:szCs w:val="22"/>
        </w:rPr>
        <w:t xml:space="preserve"> Nevadans through </w:t>
      </w:r>
      <w:r w:rsidR="004346C5" w:rsidRPr="005A6487">
        <w:rPr>
          <w:sz w:val="22"/>
          <w:szCs w:val="22"/>
        </w:rPr>
        <w:t xml:space="preserve">direct, </w:t>
      </w:r>
      <w:r w:rsidRPr="005A6487">
        <w:rPr>
          <w:sz w:val="22"/>
          <w:szCs w:val="22"/>
        </w:rPr>
        <w:t xml:space="preserve">face-to-face contact at home shows and community events. On average, staff speaks directly to 50 people per </w:t>
      </w:r>
      <w:r w:rsidR="0041254B" w:rsidRPr="005A6487">
        <w:rPr>
          <w:sz w:val="22"/>
          <w:szCs w:val="22"/>
        </w:rPr>
        <w:t xml:space="preserve">day at an </w:t>
      </w:r>
      <w:r w:rsidRPr="005A6487">
        <w:rPr>
          <w:sz w:val="22"/>
          <w:szCs w:val="22"/>
        </w:rPr>
        <w:t>event</w:t>
      </w:r>
      <w:r w:rsidR="004346C5" w:rsidRPr="005A6487">
        <w:rPr>
          <w:sz w:val="22"/>
          <w:szCs w:val="22"/>
        </w:rPr>
        <w:t xml:space="preserve"> based on actual counts of one-on-one engagement</w:t>
      </w:r>
      <w:r w:rsidR="0041254B" w:rsidRPr="005A6487">
        <w:rPr>
          <w:sz w:val="22"/>
          <w:szCs w:val="22"/>
        </w:rPr>
        <w:t xml:space="preserve">. Eight of the events PUCN staff participated in during the grant period were one-day events; five were two-day </w:t>
      </w:r>
      <w:r w:rsidR="004346C5" w:rsidRPr="005A6487">
        <w:rPr>
          <w:sz w:val="22"/>
          <w:szCs w:val="22"/>
        </w:rPr>
        <w:t>events; one was a two-day event, for a total of 25 days and 1250 people reached.</w:t>
      </w:r>
      <w:r w:rsidRPr="005A6487">
        <w:rPr>
          <w:sz w:val="22"/>
          <w:szCs w:val="22"/>
        </w:rPr>
        <w:t xml:space="preserve"> At these events, the PUCN </w:t>
      </w:r>
      <w:r w:rsidR="00283791" w:rsidRPr="005A6487">
        <w:rPr>
          <w:sz w:val="22"/>
          <w:szCs w:val="22"/>
        </w:rPr>
        <w:t>also</w:t>
      </w:r>
      <w:r w:rsidR="00812556" w:rsidRPr="005A6487">
        <w:rPr>
          <w:sz w:val="22"/>
          <w:szCs w:val="22"/>
        </w:rPr>
        <w:t xml:space="preserve"> distributed </w:t>
      </w:r>
      <w:r w:rsidR="0041254B" w:rsidRPr="005A6487">
        <w:rPr>
          <w:sz w:val="22"/>
          <w:szCs w:val="22"/>
        </w:rPr>
        <w:t xml:space="preserve">6,002 </w:t>
      </w:r>
      <w:r w:rsidRPr="005A6487">
        <w:rPr>
          <w:sz w:val="22"/>
          <w:szCs w:val="22"/>
        </w:rPr>
        <w:t>hard hats</w:t>
      </w:r>
      <w:r w:rsidR="00812556" w:rsidRPr="005A6487">
        <w:rPr>
          <w:sz w:val="22"/>
          <w:szCs w:val="22"/>
        </w:rPr>
        <w:t>,</w:t>
      </w:r>
      <w:r w:rsidRPr="005A6487">
        <w:rPr>
          <w:sz w:val="22"/>
          <w:szCs w:val="22"/>
        </w:rPr>
        <w:t xml:space="preserve"> 811 plastic bags and Homeowner’s Guides to Safe Digging brochures.</w:t>
      </w:r>
    </w:p>
    <w:p w:rsidR="003A066D" w:rsidRDefault="003A066D" w:rsidP="00A3558A">
      <w:pPr>
        <w:pStyle w:val="Default"/>
        <w:rPr>
          <w:sz w:val="22"/>
          <w:szCs w:val="22"/>
        </w:rPr>
      </w:pPr>
    </w:p>
    <w:p w:rsidR="003A066D" w:rsidRDefault="003A066D" w:rsidP="003A066D">
      <w:pPr>
        <w:pStyle w:val="Default"/>
        <w:rPr>
          <w:b/>
          <w:sz w:val="22"/>
          <w:szCs w:val="22"/>
        </w:rPr>
      </w:pPr>
      <w:r>
        <w:rPr>
          <w:b/>
          <w:sz w:val="22"/>
          <w:szCs w:val="22"/>
        </w:rPr>
        <w:t xml:space="preserve">Issues, Problems or Challenges (Item 3 under Article IX, </w:t>
      </w:r>
      <w:r w:rsidRPr="001D1901">
        <w:rPr>
          <w:b/>
          <w:sz w:val="22"/>
          <w:szCs w:val="22"/>
          <w:u w:val="single"/>
        </w:rPr>
        <w:t>Section 9.0</w:t>
      </w:r>
      <w:r>
        <w:rPr>
          <w:b/>
          <w:sz w:val="22"/>
          <w:szCs w:val="22"/>
          <w:u w:val="single"/>
        </w:rPr>
        <w:t>2</w:t>
      </w:r>
      <w:r w:rsidRPr="001D1901">
        <w:rPr>
          <w:b/>
          <w:sz w:val="22"/>
          <w:szCs w:val="22"/>
          <w:u w:val="single"/>
        </w:rPr>
        <w:t xml:space="preserve"> </w:t>
      </w:r>
      <w:r w:rsidRPr="00520047">
        <w:rPr>
          <w:b/>
          <w:sz w:val="22"/>
          <w:szCs w:val="22"/>
          <w:u w:val="single"/>
        </w:rPr>
        <w:t>Final</w:t>
      </w:r>
      <w:r w:rsidRPr="001D1901">
        <w:rPr>
          <w:b/>
          <w:sz w:val="22"/>
          <w:szCs w:val="22"/>
          <w:u w:val="single"/>
        </w:rPr>
        <w:t xml:space="preserve"> Report</w:t>
      </w:r>
      <w:r>
        <w:rPr>
          <w:b/>
          <w:sz w:val="22"/>
          <w:szCs w:val="22"/>
        </w:rPr>
        <w:t>: “</w:t>
      </w:r>
      <w:r w:rsidRPr="00E02038">
        <w:rPr>
          <w:b/>
          <w:sz w:val="22"/>
          <w:szCs w:val="22"/>
        </w:rPr>
        <w:t>The reasons for slippage if established objectives were not met.</w:t>
      </w:r>
      <w:r>
        <w:rPr>
          <w:b/>
          <w:sz w:val="22"/>
          <w:szCs w:val="22"/>
        </w:rPr>
        <w:t>”)</w:t>
      </w:r>
    </w:p>
    <w:p w:rsidR="003A066D" w:rsidRDefault="003A066D" w:rsidP="003A066D">
      <w:pPr>
        <w:pStyle w:val="Default"/>
        <w:ind w:left="420" w:hanging="420"/>
        <w:rPr>
          <w:b/>
          <w:sz w:val="22"/>
          <w:szCs w:val="22"/>
        </w:rPr>
      </w:pPr>
    </w:p>
    <w:p w:rsidR="003A066D" w:rsidRDefault="003A066D" w:rsidP="003A066D">
      <w:pPr>
        <w:pStyle w:val="Default"/>
        <w:rPr>
          <w:i/>
          <w:sz w:val="22"/>
          <w:szCs w:val="22"/>
        </w:rPr>
      </w:pPr>
      <w:r w:rsidRPr="00040D99">
        <w:rPr>
          <w:i/>
          <w:sz w:val="22"/>
          <w:szCs w:val="22"/>
        </w:rPr>
        <w:t xml:space="preserve">[If the project </w:t>
      </w:r>
      <w:r>
        <w:rPr>
          <w:i/>
          <w:sz w:val="22"/>
          <w:szCs w:val="22"/>
        </w:rPr>
        <w:t>has successfully concluded</w:t>
      </w:r>
      <w:r w:rsidRPr="00040D99">
        <w:rPr>
          <w:i/>
          <w:sz w:val="22"/>
          <w:szCs w:val="22"/>
        </w:rPr>
        <w:t xml:space="preserve"> on schedule, simply </w:t>
      </w:r>
      <w:r>
        <w:rPr>
          <w:i/>
          <w:sz w:val="22"/>
          <w:szCs w:val="22"/>
        </w:rPr>
        <w:t>state that</w:t>
      </w:r>
      <w:r w:rsidRPr="00040D99">
        <w:rPr>
          <w:i/>
          <w:sz w:val="22"/>
          <w:szCs w:val="22"/>
        </w:rPr>
        <w:t xml:space="preserve"> there are no issues, problems or challenge</w:t>
      </w:r>
      <w:r>
        <w:rPr>
          <w:i/>
          <w:sz w:val="22"/>
          <w:szCs w:val="22"/>
        </w:rPr>
        <w:t xml:space="preserve"> to report</w:t>
      </w:r>
      <w:r w:rsidRPr="00040D99">
        <w:rPr>
          <w:i/>
          <w:sz w:val="22"/>
          <w:szCs w:val="22"/>
        </w:rPr>
        <w:t>.</w:t>
      </w:r>
      <w:r>
        <w:rPr>
          <w:i/>
          <w:sz w:val="22"/>
          <w:szCs w:val="22"/>
        </w:rPr>
        <w:t xml:space="preserve">  If there have been delays for any reason, explain what they are and how they have impacted the grant work.  For instance, with some States, even after an agreement is in place, it has to be sent back to the Governor’s office for approval, which takes more time than originally anticipated.  Even if work began immediately after the agreement was in place, other delays could have been caused by personnel changes or issues that arose as the project progressed. ]</w:t>
      </w:r>
    </w:p>
    <w:p w:rsidR="00A3558A" w:rsidRPr="00242518" w:rsidRDefault="00A3558A" w:rsidP="00A3558A">
      <w:pPr>
        <w:pStyle w:val="Default"/>
        <w:ind w:left="420" w:hanging="420"/>
        <w:rPr>
          <w:b/>
          <w:sz w:val="22"/>
          <w:szCs w:val="22"/>
        </w:rPr>
      </w:pPr>
    </w:p>
    <w:p w:rsidR="00400DDB" w:rsidRPr="005A6487" w:rsidRDefault="00A3558A" w:rsidP="00A3558A">
      <w:pPr>
        <w:pStyle w:val="Default"/>
      </w:pPr>
      <w:r w:rsidRPr="005A6487">
        <w:t>The PUCN encountered a delay in the production of the two interactive dig boxes that</w:t>
      </w:r>
      <w:r w:rsidR="003644B9" w:rsidRPr="005A6487">
        <w:t xml:space="preserve"> were to be</w:t>
      </w:r>
      <w:r w:rsidRPr="005A6487">
        <w:t xml:space="preserve"> the cornerstone of this agency’s SDP grant program. The vendor hired to produce the dig boxes experienced production problems</w:t>
      </w:r>
      <w:r w:rsidR="003644B9" w:rsidRPr="005A6487">
        <w:t xml:space="preserve"> and did not deliver the boxes until late April 2015</w:t>
      </w:r>
      <w:r w:rsidRPr="005A6487">
        <w:t>.</w:t>
      </w:r>
      <w:r w:rsidR="00400DDB" w:rsidRPr="005A6487">
        <w:t xml:space="preserve"> </w:t>
      </w:r>
    </w:p>
    <w:p w:rsidR="00400DDB" w:rsidRPr="005A6487" w:rsidRDefault="00400DDB" w:rsidP="00A3558A">
      <w:pPr>
        <w:pStyle w:val="Default"/>
      </w:pPr>
    </w:p>
    <w:p w:rsidR="003644B9" w:rsidRPr="005A6487" w:rsidRDefault="003644B9" w:rsidP="00A3558A">
      <w:pPr>
        <w:pStyle w:val="Default"/>
      </w:pPr>
      <w:r w:rsidRPr="005A6487">
        <w:t xml:space="preserve">The PUCN debuted one of the boxes at the May 2, 2015, Las Vegas Science &amp; Technology Festival. The box proved to be a flop and was actually a safety hazard. Following this event, the PUCN’s legal staff sent the vendor a demand letter requesting several elements </w:t>
      </w:r>
      <w:r w:rsidR="00400DDB" w:rsidRPr="005A6487">
        <w:t xml:space="preserve">on both boxes </w:t>
      </w:r>
      <w:r w:rsidRPr="005A6487">
        <w:t>be fixed before payment would be remitted.</w:t>
      </w:r>
      <w:r w:rsidR="005176E9" w:rsidRPr="005A6487">
        <w:t xml:space="preserve"> The vendor did not finish repairing the boxes until late August 2015, which did not allow for the boxes display or usage at home shows and community events during the grant period.</w:t>
      </w:r>
    </w:p>
    <w:p w:rsidR="00A3558A" w:rsidRPr="00242518" w:rsidRDefault="00A3558A" w:rsidP="00A3558A">
      <w:pPr>
        <w:pStyle w:val="Default"/>
      </w:pPr>
    </w:p>
    <w:p w:rsidR="00A3558A" w:rsidRPr="00242518" w:rsidRDefault="00A3558A" w:rsidP="00A3558A">
      <w:pPr>
        <w:pStyle w:val="Default"/>
        <w:rPr>
          <w:sz w:val="22"/>
          <w:szCs w:val="22"/>
        </w:rPr>
      </w:pPr>
      <w:r w:rsidRPr="00242518">
        <w:rPr>
          <w:b/>
          <w:bCs/>
          <w:sz w:val="22"/>
          <w:szCs w:val="22"/>
        </w:rPr>
        <w:t xml:space="preserve">Financial Status Report </w:t>
      </w:r>
    </w:p>
    <w:p w:rsidR="00A3558A" w:rsidRPr="00242518" w:rsidRDefault="00A3558A" w:rsidP="00A3558A">
      <w:pPr>
        <w:pStyle w:val="Default"/>
        <w:rPr>
          <w:i/>
          <w:sz w:val="22"/>
          <w:szCs w:val="22"/>
        </w:rPr>
      </w:pPr>
    </w:p>
    <w:p w:rsidR="003A066D" w:rsidRPr="00BC6AE7" w:rsidRDefault="003A066D" w:rsidP="003A066D">
      <w:pPr>
        <w:pStyle w:val="Default"/>
        <w:rPr>
          <w:i/>
          <w:sz w:val="22"/>
          <w:szCs w:val="22"/>
        </w:rPr>
      </w:pPr>
      <w:r w:rsidRPr="00BC6AE7">
        <w:rPr>
          <w:i/>
          <w:sz w:val="22"/>
          <w:szCs w:val="22"/>
        </w:rPr>
        <w:t>[Per the instructions in</w:t>
      </w:r>
      <w:r>
        <w:rPr>
          <w:i/>
          <w:sz w:val="22"/>
          <w:szCs w:val="22"/>
        </w:rPr>
        <w:t xml:space="preserve"> Article IX, </w:t>
      </w:r>
      <w:r w:rsidRPr="00BC6AE7">
        <w:rPr>
          <w:i/>
          <w:sz w:val="22"/>
          <w:szCs w:val="22"/>
        </w:rPr>
        <w:t>Section</w:t>
      </w:r>
      <w:r w:rsidRPr="00351923">
        <w:rPr>
          <w:i/>
          <w:sz w:val="22"/>
          <w:szCs w:val="22"/>
          <w:u w:val="single"/>
        </w:rPr>
        <w:t xml:space="preserve"> 9.0</w:t>
      </w:r>
      <w:r>
        <w:rPr>
          <w:i/>
          <w:sz w:val="22"/>
          <w:szCs w:val="22"/>
          <w:u w:val="single"/>
        </w:rPr>
        <w:t>4</w:t>
      </w:r>
      <w:r w:rsidRPr="00BC6AE7">
        <w:rPr>
          <w:i/>
          <w:sz w:val="22"/>
          <w:szCs w:val="22"/>
        </w:rPr>
        <w:t xml:space="preserve"> of your agreement</w:t>
      </w:r>
      <w:r>
        <w:rPr>
          <w:i/>
          <w:sz w:val="22"/>
          <w:szCs w:val="22"/>
        </w:rPr>
        <w:t xml:space="preserve"> (included below), the financial status report should be submitted with this final report to the Agreement Administrator (AA) </w:t>
      </w:r>
      <w:r w:rsidRPr="00520047">
        <w:rPr>
          <w:i/>
          <w:sz w:val="22"/>
          <w:szCs w:val="22"/>
        </w:rPr>
        <w:t>and the Agreement Officer’s Representative (AOR).</w:t>
      </w:r>
      <w:r>
        <w:rPr>
          <w:i/>
          <w:sz w:val="22"/>
          <w:szCs w:val="22"/>
        </w:rPr>
        <w:t xml:space="preserve"> Please see instructions below and include supporting documentation such as invoices, receipts, spreadsheets, etc. However, if there are any issues with the Financial Status Report or additional explanation is needed, please provide that information here.  If there are any delays for whatever reasons, these should be communicated to the AA and AOR in advance.</w:t>
      </w:r>
    </w:p>
    <w:p w:rsidR="003A066D" w:rsidRPr="00BC6AE7" w:rsidRDefault="003A066D" w:rsidP="003A066D">
      <w:pPr>
        <w:pStyle w:val="Default"/>
        <w:rPr>
          <w:i/>
          <w:sz w:val="22"/>
          <w:szCs w:val="22"/>
        </w:rPr>
      </w:pPr>
    </w:p>
    <w:p w:rsidR="003A066D" w:rsidRDefault="003A066D" w:rsidP="003A066D">
      <w:pPr>
        <w:pStyle w:val="Default"/>
        <w:rPr>
          <w:i/>
          <w:sz w:val="22"/>
          <w:szCs w:val="22"/>
        </w:rPr>
      </w:pPr>
      <w:r>
        <w:rPr>
          <w:i/>
          <w:sz w:val="22"/>
          <w:szCs w:val="22"/>
        </w:rPr>
        <w:t xml:space="preserve">From Article IX, </w:t>
      </w:r>
      <w:r w:rsidRPr="00351923">
        <w:rPr>
          <w:i/>
          <w:sz w:val="22"/>
          <w:szCs w:val="22"/>
          <w:u w:val="single"/>
        </w:rPr>
        <w:t>Section 9.0</w:t>
      </w:r>
      <w:r>
        <w:rPr>
          <w:i/>
          <w:sz w:val="22"/>
          <w:szCs w:val="22"/>
          <w:u w:val="single"/>
        </w:rPr>
        <w:t>4</w:t>
      </w:r>
      <w:r>
        <w:rPr>
          <w:i/>
          <w:sz w:val="22"/>
          <w:szCs w:val="22"/>
        </w:rPr>
        <w:t xml:space="preserve"> of your agreement: “</w:t>
      </w:r>
      <w:r w:rsidRPr="00FA3C75">
        <w:rPr>
          <w:i/>
          <w:sz w:val="22"/>
          <w:szCs w:val="22"/>
        </w:rPr>
        <w:t xml:space="preserve">At the end of the grant period, the Recipient must submit a Final Federal Financial Report, Standard Form 425 (SF-425), to report the status of all funds.  </w:t>
      </w:r>
      <w:r w:rsidRPr="00FA3C75">
        <w:rPr>
          <w:i/>
          <w:sz w:val="22"/>
          <w:szCs w:val="22"/>
        </w:rPr>
        <w:lastRenderedPageBreak/>
        <w:t>In addition to the SF-425, the Recipient should provide the breakdown of costs for each object class category (Personnel, Fringe Benefits, Travel, Equipment, Supplies, Contractual, Other, and Indirect Charges).  The Final Financial Status Report must be submitted to the AOR and the AA via e-mail, no later than 90 days after the grant period end date (see Section 1.03).  If possible this report should be submitted, along with the Final Report, within 30 days after the grant period end date</w:t>
      </w:r>
      <w:r>
        <w:rPr>
          <w:i/>
          <w:sz w:val="22"/>
          <w:szCs w:val="22"/>
        </w:rPr>
        <w:t>.”]</w:t>
      </w:r>
    </w:p>
    <w:p w:rsidR="00A3558A" w:rsidRPr="00242518" w:rsidRDefault="00A3558A" w:rsidP="00A3558A">
      <w:pPr>
        <w:pStyle w:val="Default"/>
        <w:rPr>
          <w:i/>
          <w:sz w:val="22"/>
          <w:szCs w:val="22"/>
        </w:rPr>
      </w:pPr>
    </w:p>
    <w:p w:rsidR="00A3558A" w:rsidRPr="00242518" w:rsidRDefault="00A3558A" w:rsidP="00A3558A">
      <w:pPr>
        <w:autoSpaceDE w:val="0"/>
        <w:autoSpaceDN w:val="0"/>
        <w:adjustRightInd w:val="0"/>
        <w:rPr>
          <w:sz w:val="22"/>
          <w:szCs w:val="22"/>
        </w:rPr>
      </w:pPr>
      <w:r w:rsidRPr="005A6487">
        <w:rPr>
          <w:sz w:val="22"/>
          <w:szCs w:val="22"/>
        </w:rPr>
        <w:t xml:space="preserve">The PUCN’s </w:t>
      </w:r>
      <w:r w:rsidR="00030842" w:rsidRPr="005A6487">
        <w:rPr>
          <w:sz w:val="22"/>
          <w:szCs w:val="22"/>
        </w:rPr>
        <w:t xml:space="preserve">final </w:t>
      </w:r>
      <w:r w:rsidRPr="005A6487">
        <w:rPr>
          <w:sz w:val="22"/>
          <w:szCs w:val="22"/>
        </w:rPr>
        <w:t>financial report (Form SF-425) will be sent as a separate attachment to the AA and AOTR, including a spreadsheet breakdown</w:t>
      </w:r>
      <w:r w:rsidR="00030842" w:rsidRPr="005A6487">
        <w:rPr>
          <w:sz w:val="22"/>
          <w:szCs w:val="22"/>
        </w:rPr>
        <w:t xml:space="preserve"> of</w:t>
      </w:r>
      <w:r w:rsidRPr="005A6487">
        <w:rPr>
          <w:sz w:val="22"/>
          <w:szCs w:val="22"/>
        </w:rPr>
        <w:t xml:space="preserve"> expenditures for each object class category.</w:t>
      </w:r>
    </w:p>
    <w:p w:rsidR="00A3558A" w:rsidRPr="00242518" w:rsidRDefault="00A3558A" w:rsidP="00A3558A">
      <w:pPr>
        <w:rPr>
          <w:b/>
        </w:rPr>
      </w:pPr>
    </w:p>
    <w:p w:rsidR="00A3558A" w:rsidRPr="00242518" w:rsidRDefault="00A3558A" w:rsidP="00A3558A">
      <w:pPr>
        <w:rPr>
          <w:b/>
        </w:rPr>
      </w:pPr>
      <w:r w:rsidRPr="00242518">
        <w:rPr>
          <w:b/>
        </w:rPr>
        <w:t xml:space="preserve">Requests of the AOR and/or PHMSA </w:t>
      </w:r>
    </w:p>
    <w:p w:rsidR="00A3558A" w:rsidRDefault="00A3558A" w:rsidP="00A3558A">
      <w:pPr>
        <w:rPr>
          <w:b/>
        </w:rPr>
      </w:pPr>
    </w:p>
    <w:p w:rsidR="00EB4596" w:rsidRPr="00F70CB1" w:rsidRDefault="00EB4596" w:rsidP="00EB4596">
      <w:pPr>
        <w:rPr>
          <w:i/>
        </w:rPr>
      </w:pPr>
      <w:r>
        <w:rPr>
          <w:i/>
        </w:rPr>
        <w:t>[In most cases, any questions or actions requested of the AOR and PHMSA (such as grant modifications) should have been addressed in advance of filing the report.  If this is the case, simply state “No actions requested at this time” or explain any actions that are currently in process.  However, if something has come up recently, or if you haven’t been able to discuss with the AOR yet, please describe here.]</w:t>
      </w:r>
    </w:p>
    <w:p w:rsidR="00EB4596" w:rsidRPr="00242518" w:rsidRDefault="00EB4596" w:rsidP="00A3558A">
      <w:pPr>
        <w:rPr>
          <w:b/>
        </w:rPr>
      </w:pPr>
    </w:p>
    <w:p w:rsidR="00A3558A" w:rsidRPr="00242518" w:rsidRDefault="00A3558A" w:rsidP="00A3558A">
      <w:r w:rsidRPr="00242518">
        <w:t>No requests at this time.</w:t>
      </w:r>
    </w:p>
    <w:p w:rsidR="00287C8E" w:rsidRPr="00287C8E" w:rsidRDefault="00287C8E" w:rsidP="00287C8E"/>
    <w:sectPr w:rsidR="00287C8E" w:rsidRPr="00287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71C9A"/>
    <w:multiLevelType w:val="hybridMultilevel"/>
    <w:tmpl w:val="D8AE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80982"/>
    <w:multiLevelType w:val="hybridMultilevel"/>
    <w:tmpl w:val="DB56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14039"/>
    <w:multiLevelType w:val="hybridMultilevel"/>
    <w:tmpl w:val="D53CFE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F7498A"/>
    <w:multiLevelType w:val="hybridMultilevel"/>
    <w:tmpl w:val="759C48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00"/>
    <w:rsid w:val="00030842"/>
    <w:rsid w:val="000A0B64"/>
    <w:rsid w:val="00195CF0"/>
    <w:rsid w:val="00247F94"/>
    <w:rsid w:val="00283791"/>
    <w:rsid w:val="00287C8E"/>
    <w:rsid w:val="00290D54"/>
    <w:rsid w:val="0029360A"/>
    <w:rsid w:val="00356991"/>
    <w:rsid w:val="003644B9"/>
    <w:rsid w:val="003A066D"/>
    <w:rsid w:val="00400DDB"/>
    <w:rsid w:val="0041254B"/>
    <w:rsid w:val="004172E1"/>
    <w:rsid w:val="004346C5"/>
    <w:rsid w:val="00450F0B"/>
    <w:rsid w:val="004C08C1"/>
    <w:rsid w:val="005176E9"/>
    <w:rsid w:val="00522ACD"/>
    <w:rsid w:val="005A6487"/>
    <w:rsid w:val="005C2E28"/>
    <w:rsid w:val="00654F8C"/>
    <w:rsid w:val="00662121"/>
    <w:rsid w:val="0073278B"/>
    <w:rsid w:val="0078373D"/>
    <w:rsid w:val="007B7500"/>
    <w:rsid w:val="00812556"/>
    <w:rsid w:val="008315DB"/>
    <w:rsid w:val="00845AF7"/>
    <w:rsid w:val="00920045"/>
    <w:rsid w:val="009426A6"/>
    <w:rsid w:val="009820E3"/>
    <w:rsid w:val="00A166CF"/>
    <w:rsid w:val="00A3558A"/>
    <w:rsid w:val="00D42641"/>
    <w:rsid w:val="00E020E0"/>
    <w:rsid w:val="00E35F3F"/>
    <w:rsid w:val="00EA73EE"/>
    <w:rsid w:val="00EB4596"/>
    <w:rsid w:val="00EF0D8D"/>
    <w:rsid w:val="00F9628B"/>
    <w:rsid w:val="00FA226E"/>
    <w:rsid w:val="00FC31EC"/>
    <w:rsid w:val="00FD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6FDE6-4C59-4103-B230-14015C0B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C8E"/>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290D54"/>
    <w:pPr>
      <w:keepNext/>
      <w:keepLines/>
      <w:spacing w:before="240"/>
      <w:outlineLvl w:val="0"/>
    </w:pPr>
    <w:rPr>
      <w:rFonts w:eastAsiaTheme="majorEastAsia"/>
      <w:color w:val="2E74B5" w:themeColor="accent1" w:themeShade="BF"/>
      <w:sz w:val="32"/>
    </w:rPr>
  </w:style>
  <w:style w:type="paragraph" w:styleId="Heading2">
    <w:name w:val="heading 2"/>
    <w:basedOn w:val="Normal"/>
    <w:next w:val="Normal"/>
    <w:link w:val="Heading2Char"/>
    <w:uiPriority w:val="9"/>
    <w:semiHidden/>
    <w:unhideWhenUsed/>
    <w:qFormat/>
    <w:rsid w:val="00290D54"/>
    <w:pPr>
      <w:keepNext/>
      <w:keepLines/>
      <w:spacing w:before="40"/>
      <w:outlineLvl w:val="1"/>
    </w:pPr>
    <w:rPr>
      <w:rFonts w:eastAsiaTheme="majorEastAsia"/>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D54"/>
    <w:rPr>
      <w:rFonts w:eastAsiaTheme="majorEastAsia"/>
      <w:color w:val="2E74B5" w:themeColor="accent1" w:themeShade="BF"/>
      <w:sz w:val="32"/>
    </w:rPr>
  </w:style>
  <w:style w:type="character" w:customStyle="1" w:styleId="Heading2Char">
    <w:name w:val="Heading 2 Char"/>
    <w:basedOn w:val="DefaultParagraphFont"/>
    <w:link w:val="Heading2"/>
    <w:uiPriority w:val="9"/>
    <w:semiHidden/>
    <w:rsid w:val="00290D54"/>
    <w:rPr>
      <w:rFonts w:eastAsiaTheme="majorEastAsia"/>
      <w:color w:val="2E74B5" w:themeColor="accent1" w:themeShade="BF"/>
      <w:sz w:val="26"/>
      <w:szCs w:val="26"/>
    </w:rPr>
  </w:style>
  <w:style w:type="paragraph" w:styleId="Title">
    <w:name w:val="Title"/>
    <w:basedOn w:val="Normal"/>
    <w:next w:val="Normal"/>
    <w:link w:val="TitleChar"/>
    <w:uiPriority w:val="10"/>
    <w:qFormat/>
    <w:rsid w:val="00290D54"/>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290D54"/>
    <w:rPr>
      <w:rFonts w:eastAsiaTheme="majorEastAsia"/>
      <w:spacing w:val="-10"/>
      <w:kern w:val="28"/>
      <w:sz w:val="56"/>
      <w:szCs w:val="56"/>
    </w:rPr>
  </w:style>
  <w:style w:type="paragraph" w:styleId="Subtitle">
    <w:name w:val="Subtitle"/>
    <w:basedOn w:val="Normal"/>
    <w:next w:val="Normal"/>
    <w:link w:val="SubtitleChar"/>
    <w:uiPriority w:val="11"/>
    <w:qFormat/>
    <w:rsid w:val="00290D54"/>
    <w:pPr>
      <w:numPr>
        <w:ilvl w:val="1"/>
      </w:numPr>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90D54"/>
    <w:rPr>
      <w:rFonts w:eastAsiaTheme="minorEastAsia" w:cstheme="minorBidi"/>
      <w:color w:val="5A5A5A" w:themeColor="text1" w:themeTint="A5"/>
      <w:spacing w:val="15"/>
      <w:sz w:val="22"/>
      <w:szCs w:val="22"/>
    </w:rPr>
  </w:style>
  <w:style w:type="paragraph" w:customStyle="1" w:styleId="Default">
    <w:name w:val="Default"/>
    <w:rsid w:val="00287C8E"/>
    <w:pPr>
      <w:autoSpaceDE w:val="0"/>
      <w:autoSpaceDN w:val="0"/>
      <w:adjustRightInd w:val="0"/>
      <w:spacing w:after="0" w:line="240" w:lineRule="auto"/>
    </w:pPr>
    <w:rPr>
      <w:rFonts w:eastAsia="Times New Roman" w:cs="Times New Roman"/>
      <w:color w:val="000000"/>
      <w:szCs w:val="24"/>
    </w:rPr>
  </w:style>
  <w:style w:type="paragraph" w:styleId="ListParagraph">
    <w:name w:val="List Paragraph"/>
    <w:basedOn w:val="Normal"/>
    <w:uiPriority w:val="34"/>
    <w:qFormat/>
    <w:rsid w:val="00A3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203">
      <w:bodyDiv w:val="1"/>
      <w:marLeft w:val="0"/>
      <w:marRight w:val="0"/>
      <w:marTop w:val="0"/>
      <w:marBottom w:val="0"/>
      <w:divBdr>
        <w:top w:val="none" w:sz="0" w:space="0" w:color="auto"/>
        <w:left w:val="none" w:sz="0" w:space="0" w:color="auto"/>
        <w:bottom w:val="none" w:sz="0" w:space="0" w:color="auto"/>
        <w:right w:val="none" w:sz="0" w:space="0" w:color="auto"/>
      </w:divBdr>
    </w:div>
    <w:div w:id="3611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5731</TotalTime>
  <Pages>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Rivard</dc:creator>
  <cp:keywords/>
  <dc:description/>
  <cp:lastModifiedBy>Dawn Rivard</cp:lastModifiedBy>
  <cp:revision>32</cp:revision>
  <dcterms:created xsi:type="dcterms:W3CDTF">2015-09-28T16:32:00Z</dcterms:created>
  <dcterms:modified xsi:type="dcterms:W3CDTF">2015-10-12T23:44:00Z</dcterms:modified>
</cp:coreProperties>
</file>