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755176" w14:textId="1CE7738F" w:rsidR="00866A63" w:rsidRDefault="006E3310" w:rsidP="006E3310">
      <w:pPr>
        <w:jc w:val="center"/>
        <w:rPr>
          <w:rFonts w:ascii="Times New Roman" w:hAnsi="Times New Roman" w:cs="Times New Roman"/>
          <w:b/>
          <w:bCs/>
          <w:sz w:val="24"/>
          <w:szCs w:val="24"/>
        </w:rPr>
      </w:pPr>
      <w:r w:rsidRPr="006E3310">
        <w:rPr>
          <w:rFonts w:ascii="Times New Roman" w:hAnsi="Times New Roman" w:cs="Times New Roman"/>
          <w:b/>
          <w:bCs/>
          <w:sz w:val="24"/>
          <w:szCs w:val="24"/>
        </w:rPr>
        <w:t>CAAP Quarterly Report</w:t>
      </w:r>
      <w:r w:rsidR="00373741">
        <w:rPr>
          <w:rFonts w:ascii="Times New Roman" w:hAnsi="Times New Roman" w:cs="Times New Roman"/>
          <w:b/>
          <w:bCs/>
          <w:sz w:val="24"/>
          <w:szCs w:val="24"/>
        </w:rPr>
        <w:t xml:space="preserve"> 2</w:t>
      </w:r>
    </w:p>
    <w:p w14:paraId="7D3B7220" w14:textId="7861D012" w:rsidR="001C6EE1" w:rsidRDefault="00684E03" w:rsidP="006E3310">
      <w:pPr>
        <w:jc w:val="center"/>
        <w:rPr>
          <w:rFonts w:ascii="Times New Roman" w:hAnsi="Times New Roman" w:cs="Times New Roman"/>
          <w:b/>
          <w:bCs/>
          <w:sz w:val="24"/>
          <w:szCs w:val="24"/>
        </w:rPr>
      </w:pPr>
      <w:r>
        <w:rPr>
          <w:rFonts w:ascii="Times New Roman" w:hAnsi="Times New Roman" w:cs="Times New Roman"/>
          <w:b/>
          <w:bCs/>
          <w:sz w:val="24"/>
          <w:szCs w:val="24"/>
        </w:rPr>
        <w:t>0</w:t>
      </w:r>
      <w:r w:rsidR="00900C19">
        <w:rPr>
          <w:rFonts w:ascii="Times New Roman" w:hAnsi="Times New Roman" w:cs="Times New Roman"/>
          <w:b/>
          <w:bCs/>
          <w:sz w:val="24"/>
          <w:szCs w:val="24"/>
        </w:rPr>
        <w:t>3</w:t>
      </w:r>
      <w:r w:rsidR="009800EC">
        <w:rPr>
          <w:rFonts w:ascii="Times New Roman" w:hAnsi="Times New Roman" w:cs="Times New Roman"/>
          <w:b/>
          <w:bCs/>
          <w:sz w:val="24"/>
          <w:szCs w:val="24"/>
        </w:rPr>
        <w:t>/2</w:t>
      </w:r>
      <w:r w:rsidR="00900C19">
        <w:rPr>
          <w:rFonts w:ascii="Times New Roman" w:hAnsi="Times New Roman" w:cs="Times New Roman"/>
          <w:b/>
          <w:bCs/>
          <w:sz w:val="24"/>
          <w:szCs w:val="24"/>
        </w:rPr>
        <w:t>9</w:t>
      </w:r>
      <w:r w:rsidR="009800EC">
        <w:rPr>
          <w:rFonts w:ascii="Times New Roman" w:hAnsi="Times New Roman" w:cs="Times New Roman"/>
          <w:b/>
          <w:bCs/>
          <w:sz w:val="24"/>
          <w:szCs w:val="24"/>
        </w:rPr>
        <w:t>/202</w:t>
      </w:r>
      <w:r w:rsidR="00900C19">
        <w:rPr>
          <w:rFonts w:ascii="Times New Roman" w:hAnsi="Times New Roman" w:cs="Times New Roman"/>
          <w:b/>
          <w:bCs/>
          <w:sz w:val="24"/>
          <w:szCs w:val="24"/>
        </w:rPr>
        <w:t>4</w:t>
      </w:r>
    </w:p>
    <w:p w14:paraId="6C46AC13" w14:textId="395F12EC" w:rsidR="001C6EE1" w:rsidRDefault="001C6EE1" w:rsidP="001C6EE1">
      <w:pPr>
        <w:rPr>
          <w:rFonts w:ascii="Times New Roman" w:hAnsi="Times New Roman" w:cs="Times New Roman"/>
          <w:i/>
          <w:iCs/>
          <w:sz w:val="24"/>
          <w:szCs w:val="24"/>
        </w:rPr>
      </w:pPr>
      <w:r>
        <w:rPr>
          <w:rFonts w:ascii="Times New Roman" w:hAnsi="Times New Roman" w:cs="Times New Roman"/>
          <w:i/>
          <w:iCs/>
          <w:sz w:val="24"/>
          <w:szCs w:val="24"/>
        </w:rPr>
        <w:t>Project Name:</w:t>
      </w:r>
      <w:r w:rsidR="00D4540E">
        <w:rPr>
          <w:rFonts w:ascii="Times New Roman" w:hAnsi="Times New Roman" w:cs="Times New Roman"/>
          <w:i/>
          <w:iCs/>
          <w:sz w:val="24"/>
          <w:szCs w:val="24"/>
        </w:rPr>
        <w:t xml:space="preserve"> </w:t>
      </w:r>
      <w:r w:rsidR="00D4540E" w:rsidRPr="00D4540E">
        <w:rPr>
          <w:rFonts w:ascii="Times New Roman" w:hAnsi="Times New Roman" w:cs="Times New Roman"/>
          <w:i/>
          <w:iCs/>
          <w:sz w:val="24"/>
          <w:szCs w:val="24"/>
        </w:rPr>
        <w:t>"Bio-Inspired Rational Design of Bio-Based Inhibitors for Mitigating Internal Corrosion in Metal Pipelines"</w:t>
      </w:r>
    </w:p>
    <w:p w14:paraId="556952ED" w14:textId="0E7216E9" w:rsidR="001C6EE1" w:rsidRDefault="001C6EE1" w:rsidP="001C6EE1">
      <w:pPr>
        <w:rPr>
          <w:rFonts w:ascii="Times New Roman" w:hAnsi="Times New Roman" w:cs="Times New Roman"/>
          <w:i/>
          <w:iCs/>
          <w:sz w:val="24"/>
          <w:szCs w:val="24"/>
        </w:rPr>
      </w:pPr>
      <w:r>
        <w:rPr>
          <w:rFonts w:ascii="Times New Roman" w:hAnsi="Times New Roman" w:cs="Times New Roman"/>
          <w:i/>
          <w:iCs/>
          <w:sz w:val="24"/>
          <w:szCs w:val="24"/>
        </w:rPr>
        <w:t>Contract Number:</w:t>
      </w:r>
      <w:r w:rsidR="00D4540E">
        <w:rPr>
          <w:rFonts w:ascii="Times New Roman" w:hAnsi="Times New Roman" w:cs="Times New Roman"/>
          <w:i/>
          <w:iCs/>
          <w:sz w:val="24"/>
          <w:szCs w:val="24"/>
        </w:rPr>
        <w:t xml:space="preserve"> </w:t>
      </w:r>
      <w:r w:rsidR="00D4540E" w:rsidRPr="00D4540E">
        <w:rPr>
          <w:rFonts w:ascii="Times New Roman" w:hAnsi="Times New Roman" w:cs="Times New Roman"/>
          <w:i/>
          <w:iCs/>
          <w:sz w:val="24"/>
          <w:szCs w:val="24"/>
        </w:rPr>
        <w:t>693JK32350003CAAP</w:t>
      </w:r>
    </w:p>
    <w:p w14:paraId="14E70D82" w14:textId="7E1FF7CB" w:rsidR="00187C64" w:rsidRDefault="00187C64" w:rsidP="001C6EE1">
      <w:pPr>
        <w:rPr>
          <w:rFonts w:ascii="Times New Roman" w:hAnsi="Times New Roman" w:cs="Times New Roman"/>
          <w:i/>
          <w:iCs/>
          <w:sz w:val="24"/>
          <w:szCs w:val="24"/>
        </w:rPr>
      </w:pPr>
      <w:r>
        <w:rPr>
          <w:rFonts w:ascii="Times New Roman" w:hAnsi="Times New Roman" w:cs="Times New Roman"/>
          <w:i/>
          <w:iCs/>
          <w:sz w:val="24"/>
          <w:szCs w:val="24"/>
        </w:rPr>
        <w:t>Prime University:</w:t>
      </w:r>
      <w:r w:rsidR="00D4540E">
        <w:rPr>
          <w:rFonts w:ascii="Times New Roman" w:hAnsi="Times New Roman" w:cs="Times New Roman"/>
          <w:i/>
          <w:iCs/>
          <w:sz w:val="24"/>
          <w:szCs w:val="24"/>
        </w:rPr>
        <w:t xml:space="preserve"> University of Miami</w:t>
      </w:r>
    </w:p>
    <w:p w14:paraId="753AC187" w14:textId="1BD622E4" w:rsidR="00187C64" w:rsidRDefault="00187C64" w:rsidP="001C6EE1">
      <w:pPr>
        <w:rPr>
          <w:rFonts w:ascii="Times New Roman" w:hAnsi="Times New Roman" w:cs="Times New Roman"/>
          <w:i/>
          <w:iCs/>
          <w:sz w:val="24"/>
          <w:szCs w:val="24"/>
        </w:rPr>
      </w:pPr>
      <w:r>
        <w:rPr>
          <w:rFonts w:ascii="Times New Roman" w:hAnsi="Times New Roman" w:cs="Times New Roman"/>
          <w:i/>
          <w:iCs/>
          <w:sz w:val="24"/>
          <w:szCs w:val="24"/>
        </w:rPr>
        <w:t>Prepared By:</w:t>
      </w:r>
      <w:r w:rsidR="00AA1B24">
        <w:rPr>
          <w:rFonts w:ascii="Times New Roman" w:hAnsi="Times New Roman" w:cs="Times New Roman"/>
          <w:i/>
          <w:iCs/>
          <w:sz w:val="24"/>
          <w:szCs w:val="24"/>
        </w:rPr>
        <w:t xml:space="preserve"> Dr. Ali Ghahremaninezhad; </w:t>
      </w:r>
      <w:hyperlink r:id="rId9" w:history="1">
        <w:r w:rsidR="00AA1B24" w:rsidRPr="00507142">
          <w:rPr>
            <w:rStyle w:val="Hyperlink"/>
            <w:rFonts w:ascii="Times New Roman" w:hAnsi="Times New Roman" w:cs="Times New Roman"/>
            <w:i/>
            <w:iCs/>
            <w:sz w:val="24"/>
            <w:szCs w:val="24"/>
          </w:rPr>
          <w:t>a.ghahremani@miami.edu</w:t>
        </w:r>
      </w:hyperlink>
      <w:r w:rsidR="00AA1B24">
        <w:rPr>
          <w:rFonts w:ascii="Times New Roman" w:hAnsi="Times New Roman" w:cs="Times New Roman"/>
          <w:i/>
          <w:iCs/>
          <w:sz w:val="24"/>
          <w:szCs w:val="24"/>
        </w:rPr>
        <w:t>; 305-284-3465</w:t>
      </w:r>
    </w:p>
    <w:p w14:paraId="4D2D8657" w14:textId="688A726D" w:rsidR="00187C64" w:rsidRDefault="00187C64" w:rsidP="001C6EE1">
      <w:pPr>
        <w:rPr>
          <w:rFonts w:ascii="Times New Roman" w:hAnsi="Times New Roman" w:cs="Times New Roman"/>
          <w:i/>
          <w:iCs/>
          <w:sz w:val="24"/>
          <w:szCs w:val="24"/>
        </w:rPr>
      </w:pPr>
      <w:r>
        <w:rPr>
          <w:rFonts w:ascii="Times New Roman" w:hAnsi="Times New Roman" w:cs="Times New Roman"/>
          <w:i/>
          <w:iCs/>
          <w:sz w:val="24"/>
          <w:szCs w:val="24"/>
        </w:rPr>
        <w:t xml:space="preserve">Reporting </w:t>
      </w:r>
      <w:r w:rsidR="00D4540E">
        <w:rPr>
          <w:rFonts w:ascii="Times New Roman" w:hAnsi="Times New Roman" w:cs="Times New Roman"/>
          <w:i/>
          <w:iCs/>
          <w:sz w:val="24"/>
          <w:szCs w:val="24"/>
        </w:rPr>
        <w:t xml:space="preserve">Period: </w:t>
      </w:r>
      <w:r w:rsidR="00AA1B24">
        <w:rPr>
          <w:rFonts w:ascii="Times New Roman" w:hAnsi="Times New Roman" w:cs="Times New Roman"/>
          <w:i/>
          <w:iCs/>
          <w:sz w:val="24"/>
          <w:szCs w:val="24"/>
        </w:rPr>
        <w:t>0</w:t>
      </w:r>
      <w:r w:rsidR="00D65CBA">
        <w:rPr>
          <w:rFonts w:ascii="Times New Roman" w:hAnsi="Times New Roman" w:cs="Times New Roman"/>
          <w:i/>
          <w:iCs/>
          <w:sz w:val="24"/>
          <w:szCs w:val="24"/>
        </w:rPr>
        <w:t>1</w:t>
      </w:r>
      <w:r w:rsidR="00AA1B24">
        <w:rPr>
          <w:rFonts w:ascii="Times New Roman" w:hAnsi="Times New Roman" w:cs="Times New Roman"/>
          <w:i/>
          <w:iCs/>
          <w:sz w:val="24"/>
          <w:szCs w:val="24"/>
        </w:rPr>
        <w:t>/</w:t>
      </w:r>
      <w:r w:rsidR="00373741">
        <w:rPr>
          <w:rFonts w:ascii="Times New Roman" w:hAnsi="Times New Roman" w:cs="Times New Roman"/>
          <w:i/>
          <w:iCs/>
          <w:sz w:val="24"/>
          <w:szCs w:val="24"/>
        </w:rPr>
        <w:t>0</w:t>
      </w:r>
      <w:r w:rsidR="00D65CBA">
        <w:rPr>
          <w:rFonts w:ascii="Times New Roman" w:hAnsi="Times New Roman" w:cs="Times New Roman"/>
          <w:i/>
          <w:iCs/>
          <w:sz w:val="24"/>
          <w:szCs w:val="24"/>
        </w:rPr>
        <w:t>1</w:t>
      </w:r>
      <w:r w:rsidR="00AA1B24">
        <w:rPr>
          <w:rFonts w:ascii="Times New Roman" w:hAnsi="Times New Roman" w:cs="Times New Roman"/>
          <w:i/>
          <w:iCs/>
          <w:sz w:val="24"/>
          <w:szCs w:val="24"/>
        </w:rPr>
        <w:t>/202</w:t>
      </w:r>
      <w:r w:rsidR="00D65CBA">
        <w:rPr>
          <w:rFonts w:ascii="Times New Roman" w:hAnsi="Times New Roman" w:cs="Times New Roman"/>
          <w:i/>
          <w:iCs/>
          <w:sz w:val="24"/>
          <w:szCs w:val="24"/>
        </w:rPr>
        <w:t>4</w:t>
      </w:r>
      <w:r w:rsidR="00AA1B24">
        <w:rPr>
          <w:rFonts w:ascii="Times New Roman" w:hAnsi="Times New Roman" w:cs="Times New Roman"/>
          <w:i/>
          <w:iCs/>
          <w:sz w:val="24"/>
          <w:szCs w:val="24"/>
        </w:rPr>
        <w:t>-</w:t>
      </w:r>
      <w:r w:rsidR="00373741">
        <w:rPr>
          <w:rFonts w:ascii="Times New Roman" w:hAnsi="Times New Roman" w:cs="Times New Roman"/>
          <w:i/>
          <w:iCs/>
          <w:sz w:val="24"/>
          <w:szCs w:val="24"/>
        </w:rPr>
        <w:t>0</w:t>
      </w:r>
      <w:r w:rsidR="00D65CBA">
        <w:rPr>
          <w:rFonts w:ascii="Times New Roman" w:hAnsi="Times New Roman" w:cs="Times New Roman"/>
          <w:i/>
          <w:iCs/>
          <w:sz w:val="24"/>
          <w:szCs w:val="24"/>
        </w:rPr>
        <w:t>3</w:t>
      </w:r>
      <w:r w:rsidR="00AA1B24">
        <w:rPr>
          <w:rFonts w:ascii="Times New Roman" w:hAnsi="Times New Roman" w:cs="Times New Roman"/>
          <w:i/>
          <w:iCs/>
          <w:sz w:val="24"/>
          <w:szCs w:val="24"/>
        </w:rPr>
        <w:t>/30/202</w:t>
      </w:r>
      <w:r w:rsidR="00D65CBA">
        <w:rPr>
          <w:rFonts w:ascii="Times New Roman" w:hAnsi="Times New Roman" w:cs="Times New Roman"/>
          <w:i/>
          <w:iCs/>
          <w:sz w:val="24"/>
          <w:szCs w:val="24"/>
        </w:rPr>
        <w:t>4</w:t>
      </w:r>
    </w:p>
    <w:p w14:paraId="326240F5" w14:textId="77777777" w:rsidR="00187C64" w:rsidRDefault="00187C64" w:rsidP="001C6EE1">
      <w:pPr>
        <w:rPr>
          <w:rFonts w:ascii="Times New Roman" w:hAnsi="Times New Roman" w:cs="Times New Roman"/>
          <w:i/>
          <w:iCs/>
          <w:sz w:val="24"/>
          <w:szCs w:val="24"/>
        </w:rPr>
      </w:pPr>
    </w:p>
    <w:p w14:paraId="51EA83FC" w14:textId="538A245C" w:rsidR="001C6EE1" w:rsidRDefault="00446F57" w:rsidP="001C6EE1">
      <w:pPr>
        <w:rPr>
          <w:rFonts w:ascii="Times New Roman" w:hAnsi="Times New Roman" w:cs="Times New Roman"/>
          <w:b/>
          <w:bCs/>
          <w:sz w:val="24"/>
          <w:szCs w:val="24"/>
        </w:rPr>
      </w:pPr>
      <w:r>
        <w:rPr>
          <w:rFonts w:ascii="Times New Roman" w:hAnsi="Times New Roman" w:cs="Times New Roman"/>
          <w:b/>
          <w:bCs/>
          <w:sz w:val="24"/>
          <w:szCs w:val="24"/>
        </w:rPr>
        <w:t>Project Activities for Reporting Period:</w:t>
      </w:r>
    </w:p>
    <w:p w14:paraId="75A1CF76" w14:textId="4945E851" w:rsidR="00446F57" w:rsidRDefault="00446F57" w:rsidP="001C6EE1">
      <w:pPr>
        <w:rPr>
          <w:rFonts w:ascii="Times New Roman" w:hAnsi="Times New Roman" w:cs="Times New Roman"/>
          <w:sz w:val="24"/>
          <w:szCs w:val="24"/>
        </w:rPr>
      </w:pPr>
      <w:r w:rsidRPr="00393CD0">
        <w:rPr>
          <w:rFonts w:ascii="Times New Roman" w:hAnsi="Times New Roman" w:cs="Times New Roman"/>
          <w:sz w:val="24"/>
          <w:szCs w:val="24"/>
        </w:rPr>
        <w:t>[Include the major activities that were completed during this activity. Please describe the relevant tasks in the proposal that have been completed or status of their process]</w:t>
      </w:r>
    </w:p>
    <w:p w14:paraId="44CA5935" w14:textId="061E7A93" w:rsidR="00814A40" w:rsidRDefault="00791C43" w:rsidP="001C6EE1">
      <w:pPr>
        <w:rPr>
          <w:rFonts w:ascii="Times New Roman" w:hAnsi="Times New Roman" w:cs="Times New Roman"/>
          <w:sz w:val="24"/>
          <w:szCs w:val="24"/>
        </w:rPr>
      </w:pPr>
      <w:r>
        <w:rPr>
          <w:rFonts w:ascii="Times New Roman" w:hAnsi="Times New Roman" w:cs="Times New Roman"/>
          <w:sz w:val="24"/>
          <w:szCs w:val="24"/>
        </w:rPr>
        <w:t xml:space="preserve">Student recruitment: One Ph.D. student named Sevil Ozsut </w:t>
      </w:r>
      <w:r w:rsidR="002269FB">
        <w:rPr>
          <w:rFonts w:ascii="Times New Roman" w:hAnsi="Times New Roman" w:cs="Times New Roman"/>
          <w:sz w:val="24"/>
          <w:szCs w:val="24"/>
        </w:rPr>
        <w:t>has</w:t>
      </w:r>
      <w:r>
        <w:rPr>
          <w:rFonts w:ascii="Times New Roman" w:hAnsi="Times New Roman" w:cs="Times New Roman"/>
          <w:sz w:val="24"/>
          <w:szCs w:val="24"/>
        </w:rPr>
        <w:t xml:space="preserve"> been </w:t>
      </w:r>
      <w:r w:rsidR="002269FB">
        <w:rPr>
          <w:rFonts w:ascii="Times New Roman" w:hAnsi="Times New Roman" w:cs="Times New Roman"/>
          <w:sz w:val="24"/>
          <w:szCs w:val="24"/>
        </w:rPr>
        <w:t>recruited</w:t>
      </w:r>
      <w:r>
        <w:rPr>
          <w:rFonts w:ascii="Times New Roman" w:hAnsi="Times New Roman" w:cs="Times New Roman"/>
          <w:sz w:val="24"/>
          <w:szCs w:val="24"/>
        </w:rPr>
        <w:t>, who will be involved in various tasks/activities including literature review, experiment design and implementation, and data analysis.</w:t>
      </w:r>
      <w:r w:rsidR="00814A40">
        <w:rPr>
          <w:rFonts w:ascii="Times New Roman" w:hAnsi="Times New Roman" w:cs="Times New Roman"/>
          <w:sz w:val="24"/>
          <w:szCs w:val="24"/>
        </w:rPr>
        <w:t xml:space="preserve"> </w:t>
      </w:r>
    </w:p>
    <w:p w14:paraId="74495EF8" w14:textId="77777777" w:rsidR="00D65CBA" w:rsidRPr="009812B5" w:rsidRDefault="00D65CBA" w:rsidP="00D65CBA">
      <w:pPr>
        <w:spacing w:before="120" w:after="240" w:line="276" w:lineRule="auto"/>
        <w:rPr>
          <w:rFonts w:ascii="Times New Roman" w:eastAsia="CharisSIL" w:hAnsi="Times New Roman" w:cs="Times New Roman"/>
          <w:sz w:val="24"/>
          <w:szCs w:val="24"/>
        </w:rPr>
      </w:pPr>
      <w:r>
        <w:rPr>
          <w:rFonts w:ascii="Times New Roman" w:hAnsi="Times New Roman" w:cs="Times New Roman"/>
          <w:sz w:val="24"/>
          <w:szCs w:val="24"/>
        </w:rPr>
        <w:t>Work</w:t>
      </w:r>
      <w:r w:rsidRPr="009812B5">
        <w:rPr>
          <w:rFonts w:ascii="Times New Roman" w:hAnsi="Times New Roman" w:cs="Times New Roman"/>
          <w:sz w:val="24"/>
          <w:szCs w:val="24"/>
        </w:rPr>
        <w:t xml:space="preserve"> focused on the investigation of the inhibitory activity of several amino acids on mild steel in acidic environments. </w:t>
      </w:r>
      <w:r w:rsidRPr="009812B5">
        <w:rPr>
          <w:rFonts w:ascii="Times New Roman" w:eastAsia="CharisSIL" w:hAnsi="Times New Roman" w:cs="Times New Roman"/>
          <w:sz w:val="24"/>
          <w:szCs w:val="24"/>
        </w:rPr>
        <w:t xml:space="preserve">The efficiency of the inhibitors was assessed by </w:t>
      </w:r>
      <w:r w:rsidRPr="009812B5">
        <w:rPr>
          <w:rFonts w:ascii="Times New Roman" w:hAnsi="Times New Roman" w:cs="Times New Roman"/>
          <w:sz w:val="24"/>
          <w:szCs w:val="24"/>
        </w:rPr>
        <w:t xml:space="preserve">gravimetric mass loss measurement </w:t>
      </w:r>
      <w:r w:rsidRPr="009812B5">
        <w:rPr>
          <w:rFonts w:ascii="Times New Roman" w:eastAsia="CharisSIL" w:hAnsi="Times New Roman" w:cs="Times New Roman"/>
          <w:sz w:val="24"/>
          <w:szCs w:val="24"/>
        </w:rPr>
        <w:t xml:space="preserve">and electrochemical measurements. Open circuit potential (OCP), potentiodynamic polarization measurements (PDP), and electrochemical impedance spectroscopy (EIS) were used as electrochemical measurement techniques. In this report, the used materials, conducted experiments, and their results are presented. </w:t>
      </w:r>
    </w:p>
    <w:p w14:paraId="3DCD388B" w14:textId="77777777" w:rsidR="00D65CBA" w:rsidRPr="009812B5" w:rsidRDefault="00D65CBA" w:rsidP="00D65CBA">
      <w:pPr>
        <w:pStyle w:val="Heading1"/>
        <w:numPr>
          <w:ilvl w:val="0"/>
          <w:numId w:val="2"/>
        </w:numPr>
        <w:spacing w:before="120" w:after="120" w:line="276" w:lineRule="auto"/>
        <w:jc w:val="both"/>
        <w:rPr>
          <w:rFonts w:ascii="Times New Roman" w:eastAsia="CharisSIL" w:hAnsi="Times New Roman" w:cs="Times New Roman"/>
          <w:b/>
          <w:bCs/>
          <w:color w:val="auto"/>
          <w:sz w:val="24"/>
          <w:szCs w:val="24"/>
        </w:rPr>
      </w:pPr>
      <w:r w:rsidRPr="009812B5">
        <w:rPr>
          <w:rFonts w:ascii="Times New Roman" w:eastAsia="CharisSIL" w:hAnsi="Times New Roman" w:cs="Times New Roman"/>
          <w:b/>
          <w:bCs/>
          <w:color w:val="auto"/>
          <w:sz w:val="24"/>
          <w:szCs w:val="24"/>
        </w:rPr>
        <w:t>Experimental</w:t>
      </w:r>
    </w:p>
    <w:p w14:paraId="04FF0E6E" w14:textId="77777777" w:rsidR="00D65CBA" w:rsidRPr="009812B5" w:rsidRDefault="00D65CBA" w:rsidP="00D65CBA">
      <w:pPr>
        <w:pStyle w:val="Heading2"/>
        <w:numPr>
          <w:ilvl w:val="1"/>
          <w:numId w:val="2"/>
        </w:numPr>
        <w:spacing w:before="120" w:after="120" w:line="276" w:lineRule="auto"/>
        <w:rPr>
          <w:rFonts w:ascii="Times New Roman" w:hAnsi="Times New Roman" w:cs="Times New Roman"/>
          <w:b/>
          <w:bCs/>
          <w:color w:val="auto"/>
          <w:sz w:val="24"/>
          <w:szCs w:val="24"/>
        </w:rPr>
      </w:pPr>
      <w:r w:rsidRPr="009812B5">
        <w:rPr>
          <w:rFonts w:ascii="Times New Roman" w:hAnsi="Times New Roman" w:cs="Times New Roman"/>
          <w:b/>
          <w:bCs/>
          <w:color w:val="auto"/>
          <w:sz w:val="24"/>
          <w:szCs w:val="24"/>
        </w:rPr>
        <w:t>Materials</w:t>
      </w:r>
    </w:p>
    <w:p w14:paraId="47D954F2" w14:textId="77777777" w:rsidR="00D65CBA" w:rsidRPr="009812B5"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Tests were performed on a mild steel specimen of the percentage composition C: 0.059, Si: 0.18, Mn: 0.4610, P: 0.01, S:0.011, and the rest of Fe. The steel bar was purchased from McMaster-Carr, US. The specimens of size 10mm x 10mm x 2mm were cut from the mild steel bar. Before both the gravimetric and the electrochemical tests, </w:t>
      </w:r>
      <w:r>
        <w:rPr>
          <w:rFonts w:ascii="Times New Roman" w:hAnsi="Times New Roman" w:cs="Times New Roman"/>
          <w:sz w:val="24"/>
          <w:szCs w:val="24"/>
        </w:rPr>
        <w:t xml:space="preserve">the </w:t>
      </w:r>
      <w:r w:rsidRPr="009812B5">
        <w:rPr>
          <w:rFonts w:ascii="Times New Roman" w:hAnsi="Times New Roman" w:cs="Times New Roman"/>
          <w:sz w:val="24"/>
          <w:szCs w:val="24"/>
        </w:rPr>
        <w:t>specimens’ surfaces were physically polished with silicon carbide (SiC) paper ranging from grade #180 to #600 for the test of L-Arginine, L-Glutamic Acid, L-Threonine, and from grade #180 to #1200 for the test of L-Methionine. This was followed by rinsing with distilled water, degreased with acetone, and finally dried in air. Before any experiment, the substrates were treated as described and freshly used with no further storage.</w:t>
      </w:r>
    </w:p>
    <w:p w14:paraId="779CB096" w14:textId="77777777" w:rsidR="00D65CBA" w:rsidRPr="009812B5" w:rsidRDefault="00D65CBA" w:rsidP="00D65CBA">
      <w:pPr>
        <w:spacing w:before="120" w:after="240" w:line="276" w:lineRule="auto"/>
        <w:rPr>
          <w:rFonts w:ascii="Times New Roman" w:hAnsi="Times New Roman" w:cs="Times New Roman"/>
          <w:sz w:val="24"/>
          <w:szCs w:val="24"/>
        </w:rPr>
      </w:pPr>
      <w:r w:rsidRPr="009812B5">
        <w:rPr>
          <w:rFonts w:ascii="Times New Roman" w:hAnsi="Times New Roman" w:cs="Times New Roman"/>
          <w:sz w:val="24"/>
          <w:szCs w:val="24"/>
        </w:rPr>
        <w:t xml:space="preserve">The reagent grade (≥ 98%) amino acids (L-Methionine, L-Arginine, L-Glutamic Acid, and L-Threonine) and concentrated HCl (37%) were purchased from Sigma-Aldrich. The amino acids </w:t>
      </w:r>
      <w:r w:rsidRPr="009812B5">
        <w:rPr>
          <w:rFonts w:ascii="Times New Roman" w:hAnsi="Times New Roman" w:cs="Times New Roman"/>
          <w:sz w:val="24"/>
          <w:szCs w:val="24"/>
        </w:rPr>
        <w:lastRenderedPageBreak/>
        <w:t xml:space="preserve">were used as an inhibitor with no further purification. The molecular structures of </w:t>
      </w:r>
      <w:r>
        <w:rPr>
          <w:rFonts w:ascii="Times New Roman" w:hAnsi="Times New Roman" w:cs="Times New Roman"/>
          <w:sz w:val="24"/>
          <w:szCs w:val="24"/>
        </w:rPr>
        <w:t>the</w:t>
      </w:r>
      <w:r w:rsidRPr="009812B5">
        <w:rPr>
          <w:rFonts w:ascii="Times New Roman" w:hAnsi="Times New Roman" w:cs="Times New Roman"/>
          <w:sz w:val="24"/>
          <w:szCs w:val="24"/>
        </w:rPr>
        <w:t xml:space="preserve"> amino acids are presented in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REF _Ref161951984 \h  \* MERGEFORMAT </w:instrText>
      </w:r>
      <w:r w:rsidRPr="009812B5">
        <w:rPr>
          <w:rFonts w:ascii="Times New Roman" w:hAnsi="Times New Roman" w:cs="Times New Roman"/>
          <w:sz w:val="24"/>
          <w:szCs w:val="24"/>
        </w:rPr>
      </w:r>
      <w:r w:rsidRPr="009812B5">
        <w:rPr>
          <w:rFonts w:ascii="Times New Roman" w:hAnsi="Times New Roman" w:cs="Times New Roman"/>
          <w:sz w:val="24"/>
          <w:szCs w:val="24"/>
        </w:rPr>
        <w:fldChar w:fldCharType="separate"/>
      </w:r>
      <w:r w:rsidRPr="001247F9">
        <w:rPr>
          <w:rFonts w:ascii="Times New Roman" w:hAnsi="Times New Roman" w:cs="Times New Roman"/>
          <w:sz w:val="24"/>
          <w:szCs w:val="24"/>
        </w:rPr>
        <w:t xml:space="preserve">Figure </w:t>
      </w:r>
      <w:r w:rsidRPr="001247F9">
        <w:rPr>
          <w:rFonts w:ascii="Times New Roman" w:hAnsi="Times New Roman" w:cs="Times New Roman"/>
          <w:noProof/>
          <w:sz w:val="24"/>
          <w:szCs w:val="24"/>
        </w:rPr>
        <w:t>1</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xml:space="preserve">. The electrolytic solution of 0.5M HCl was prepared from dilution of 37% analytical grade HCl. The test inhibitors were dissolved in 0.5 M HCl to obtain the desired concentration (0.002% – 0.02% wt). </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6"/>
        <w:gridCol w:w="2337"/>
        <w:gridCol w:w="2334"/>
        <w:gridCol w:w="2353"/>
      </w:tblGrid>
      <w:tr w:rsidR="00D65CBA" w:rsidRPr="009812B5" w14:paraId="116D303C" w14:textId="77777777" w:rsidTr="00AD679A">
        <w:tc>
          <w:tcPr>
            <w:tcW w:w="2336" w:type="dxa"/>
            <w:tcBorders>
              <w:bottom w:val="single" w:sz="4" w:space="0" w:color="auto"/>
            </w:tcBorders>
            <w:vAlign w:val="center"/>
          </w:tcPr>
          <w:p w14:paraId="512F612E"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noProof/>
                <w:sz w:val="24"/>
                <w:szCs w:val="24"/>
              </w:rPr>
              <w:drawing>
                <wp:inline distT="0" distB="0" distL="0" distR="0" wp14:anchorId="733B03A4" wp14:editId="3A07B0C6">
                  <wp:extent cx="1310944" cy="766689"/>
                  <wp:effectExtent l="0" t="0" r="3810" b="0"/>
                  <wp:docPr id="621131266" name="Picture 2" descr="L-Methionine | Endogenous Metabolite | MedChem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Methionine | Endogenous Metabolite | MedChemExpress"/>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20818" b="18959"/>
                          <a:stretch/>
                        </pic:blipFill>
                        <pic:spPr bwMode="auto">
                          <a:xfrm>
                            <a:off x="0" y="0"/>
                            <a:ext cx="1320213" cy="77211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7" w:type="dxa"/>
            <w:tcBorders>
              <w:bottom w:val="single" w:sz="4" w:space="0" w:color="auto"/>
            </w:tcBorders>
            <w:vAlign w:val="center"/>
          </w:tcPr>
          <w:p w14:paraId="21AFF0C3"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noProof/>
                <w:sz w:val="24"/>
                <w:szCs w:val="24"/>
              </w:rPr>
              <w:drawing>
                <wp:inline distT="0" distB="0" distL="0" distR="0" wp14:anchorId="5415820E" wp14:editId="582B4307">
                  <wp:extent cx="1342007" cy="738554"/>
                  <wp:effectExtent l="0" t="0" r="0" b="4445"/>
                  <wp:docPr id="1452927606" name="Picture 4" descr="Image of L-Argin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of L-Arginine"/>
                          <pic:cNvPicPr>
                            <a:picLocks noChangeAspect="1" noChangeArrowheads="1"/>
                          </pic:cNvPicPr>
                        </pic:nvPicPr>
                        <pic:blipFill rotWithShape="1">
                          <a:blip r:embed="rId11">
                            <a:extLst>
                              <a:ext uri="{28A0092B-C50C-407E-A947-70E740481C1C}">
                                <a14:useLocalDpi xmlns:a14="http://schemas.microsoft.com/office/drawing/2010/main" val="0"/>
                              </a:ext>
                            </a:extLst>
                          </a:blip>
                          <a:srcRect l="9060" t="8458" r="9060" b="9950"/>
                          <a:stretch/>
                        </pic:blipFill>
                        <pic:spPr bwMode="auto">
                          <a:xfrm>
                            <a:off x="0" y="0"/>
                            <a:ext cx="1352215" cy="744172"/>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2334" w:type="dxa"/>
            <w:tcBorders>
              <w:bottom w:val="single" w:sz="4" w:space="0" w:color="auto"/>
            </w:tcBorders>
            <w:vAlign w:val="center"/>
          </w:tcPr>
          <w:p w14:paraId="75B43484"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noProof/>
                <w:sz w:val="24"/>
                <w:szCs w:val="24"/>
              </w:rPr>
              <w:drawing>
                <wp:inline distT="0" distB="0" distL="0" distR="0" wp14:anchorId="0EB74B9F" wp14:editId="28DCD1B4">
                  <wp:extent cx="1237957" cy="849288"/>
                  <wp:effectExtent l="0" t="0" r="635" b="8255"/>
                  <wp:docPr id="414021003" name="Picture 1" descr="A chemical structure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4021003" name="Picture 1" descr="A chemical structure of a molecule&#10;&#10;Description automatically generated"/>
                          <pic:cNvPicPr/>
                        </pic:nvPicPr>
                        <pic:blipFill rotWithShape="1">
                          <a:blip r:embed="rId12"/>
                          <a:srcRect l="6538" t="2827" r="6131" b="6107"/>
                          <a:stretch/>
                        </pic:blipFill>
                        <pic:spPr bwMode="auto">
                          <a:xfrm>
                            <a:off x="0" y="0"/>
                            <a:ext cx="1254631" cy="860727"/>
                          </a:xfrm>
                          <a:prstGeom prst="rect">
                            <a:avLst/>
                          </a:prstGeom>
                          <a:ln>
                            <a:noFill/>
                          </a:ln>
                          <a:extLst>
                            <a:ext uri="{53640926-AAD7-44D8-BBD7-CCE9431645EC}">
                              <a14:shadowObscured xmlns:a14="http://schemas.microsoft.com/office/drawing/2010/main"/>
                            </a:ext>
                          </a:extLst>
                        </pic:spPr>
                      </pic:pic>
                    </a:graphicData>
                  </a:graphic>
                </wp:inline>
              </w:drawing>
            </w:r>
          </w:p>
        </w:tc>
        <w:tc>
          <w:tcPr>
            <w:tcW w:w="2353" w:type="dxa"/>
            <w:tcBorders>
              <w:bottom w:val="single" w:sz="4" w:space="0" w:color="auto"/>
            </w:tcBorders>
            <w:vAlign w:val="center"/>
          </w:tcPr>
          <w:p w14:paraId="1D4F9754" w14:textId="77777777" w:rsidR="00D65CBA" w:rsidRPr="009812B5" w:rsidRDefault="00D65CBA" w:rsidP="00AD679A">
            <w:pPr>
              <w:pStyle w:val="NormalWeb"/>
              <w:spacing w:before="120" w:beforeAutospacing="0" w:after="120" w:afterAutospacing="0"/>
              <w:jc w:val="center"/>
            </w:pPr>
            <w:r w:rsidRPr="009812B5">
              <w:rPr>
                <w:noProof/>
              </w:rPr>
              <w:drawing>
                <wp:inline distT="0" distB="0" distL="0" distR="0" wp14:anchorId="3A65B00C" wp14:editId="6A1F850A">
                  <wp:extent cx="1294228" cy="843915"/>
                  <wp:effectExtent l="0" t="0" r="1270" b="0"/>
                  <wp:docPr id="1796023935" name="Picture 1" descr="A structure of a chemical formul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6023935" name="Picture 1" descr="A structure of a chemical formula&#10;&#10;Description automatically generated"/>
                          <pic:cNvPicPr>
                            <a:picLocks noChangeAspect="1" noChangeArrowheads="1"/>
                          </pic:cNvPicPr>
                        </pic:nvPicPr>
                        <pic:blipFill rotWithShape="1">
                          <a:blip r:embed="rId13" cstate="print">
                            <a:extLst>
                              <a:ext uri="{28A0092B-C50C-407E-A947-70E740481C1C}">
                                <a14:useLocalDpi xmlns:a14="http://schemas.microsoft.com/office/drawing/2010/main" val="0"/>
                              </a:ext>
                            </a:extLst>
                          </a:blip>
                          <a:srcRect l="5857" t="16560" r="5113" b="22889"/>
                          <a:stretch/>
                        </pic:blipFill>
                        <pic:spPr bwMode="auto">
                          <a:xfrm>
                            <a:off x="0" y="0"/>
                            <a:ext cx="1304824" cy="85082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5CBA" w:rsidRPr="009812B5" w14:paraId="3520F01F" w14:textId="77777777" w:rsidTr="00AD679A">
        <w:tc>
          <w:tcPr>
            <w:tcW w:w="2336" w:type="dxa"/>
            <w:tcBorders>
              <w:top w:val="single" w:sz="4" w:space="0" w:color="auto"/>
              <w:bottom w:val="single" w:sz="4" w:space="0" w:color="auto"/>
            </w:tcBorders>
            <w:vAlign w:val="center"/>
          </w:tcPr>
          <w:p w14:paraId="24E0228C"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L-Methionine</w:t>
            </w:r>
          </w:p>
        </w:tc>
        <w:tc>
          <w:tcPr>
            <w:tcW w:w="2337" w:type="dxa"/>
            <w:tcBorders>
              <w:top w:val="single" w:sz="4" w:space="0" w:color="auto"/>
              <w:bottom w:val="single" w:sz="4" w:space="0" w:color="auto"/>
            </w:tcBorders>
            <w:vAlign w:val="center"/>
          </w:tcPr>
          <w:p w14:paraId="459A29E7"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L-Arginine</w:t>
            </w:r>
          </w:p>
        </w:tc>
        <w:tc>
          <w:tcPr>
            <w:tcW w:w="2334" w:type="dxa"/>
            <w:tcBorders>
              <w:top w:val="single" w:sz="4" w:space="0" w:color="auto"/>
              <w:bottom w:val="single" w:sz="4" w:space="0" w:color="auto"/>
            </w:tcBorders>
            <w:vAlign w:val="center"/>
          </w:tcPr>
          <w:p w14:paraId="464662FA"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L-Glutamic Acid</w:t>
            </w:r>
          </w:p>
        </w:tc>
        <w:tc>
          <w:tcPr>
            <w:tcW w:w="2353" w:type="dxa"/>
            <w:tcBorders>
              <w:top w:val="single" w:sz="4" w:space="0" w:color="auto"/>
              <w:bottom w:val="single" w:sz="4" w:space="0" w:color="auto"/>
            </w:tcBorders>
            <w:vAlign w:val="center"/>
          </w:tcPr>
          <w:p w14:paraId="154FE56B" w14:textId="77777777" w:rsidR="00D65CBA" w:rsidRPr="009812B5" w:rsidRDefault="00D65CBA" w:rsidP="00AD679A">
            <w:pPr>
              <w:keepNext/>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L-Threonine</w:t>
            </w:r>
          </w:p>
        </w:tc>
      </w:tr>
    </w:tbl>
    <w:p w14:paraId="4BA89C38" w14:textId="77777777" w:rsidR="00D65CBA" w:rsidRPr="009812B5" w:rsidRDefault="00D65CBA" w:rsidP="00D65CBA">
      <w:pPr>
        <w:pStyle w:val="Caption"/>
        <w:spacing w:before="120" w:after="240" w:line="276" w:lineRule="auto"/>
        <w:rPr>
          <w:rFonts w:ascii="Times New Roman" w:hAnsi="Times New Roman" w:cs="Times New Roman"/>
          <w:i w:val="0"/>
          <w:iCs w:val="0"/>
          <w:color w:val="auto"/>
          <w:sz w:val="24"/>
          <w:szCs w:val="24"/>
        </w:rPr>
      </w:pPr>
      <w:bookmarkStart w:id="0" w:name="_Ref161951984"/>
      <w:r w:rsidRPr="009812B5">
        <w:rPr>
          <w:rFonts w:ascii="Times New Roman" w:hAnsi="Times New Roman" w:cs="Times New Roman"/>
          <w:b/>
          <w:bCs/>
          <w:i w:val="0"/>
          <w:iCs w:val="0"/>
          <w:color w:val="auto"/>
          <w:sz w:val="24"/>
          <w:szCs w:val="24"/>
        </w:rPr>
        <w:t xml:space="preserve">Figure </w:t>
      </w:r>
      <w:r w:rsidRPr="009812B5">
        <w:rPr>
          <w:rFonts w:ascii="Times New Roman" w:hAnsi="Times New Roman" w:cs="Times New Roman"/>
          <w:b/>
          <w:bCs/>
          <w:i w:val="0"/>
          <w:iCs w:val="0"/>
          <w:color w:val="auto"/>
          <w:sz w:val="24"/>
          <w:szCs w:val="24"/>
        </w:rPr>
        <w:fldChar w:fldCharType="begin"/>
      </w:r>
      <w:r w:rsidRPr="009812B5">
        <w:rPr>
          <w:rFonts w:ascii="Times New Roman" w:hAnsi="Times New Roman" w:cs="Times New Roman"/>
          <w:b/>
          <w:bCs/>
          <w:i w:val="0"/>
          <w:iCs w:val="0"/>
          <w:color w:val="auto"/>
          <w:sz w:val="24"/>
          <w:szCs w:val="24"/>
        </w:rPr>
        <w:instrText xml:space="preserve"> SEQ Figure \* ARABIC </w:instrText>
      </w:r>
      <w:r w:rsidRPr="009812B5">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1</w:t>
      </w:r>
      <w:r w:rsidRPr="009812B5">
        <w:rPr>
          <w:rFonts w:ascii="Times New Roman" w:hAnsi="Times New Roman" w:cs="Times New Roman"/>
          <w:b/>
          <w:bCs/>
          <w:i w:val="0"/>
          <w:iCs w:val="0"/>
          <w:color w:val="auto"/>
          <w:sz w:val="24"/>
          <w:szCs w:val="24"/>
        </w:rPr>
        <w:fldChar w:fldCharType="end"/>
      </w:r>
      <w:bookmarkEnd w:id="0"/>
      <w:r w:rsidRPr="009812B5">
        <w:rPr>
          <w:rFonts w:ascii="Times New Roman" w:hAnsi="Times New Roman" w:cs="Times New Roman"/>
          <w:b/>
          <w:bCs/>
          <w:i w:val="0"/>
          <w:iCs w:val="0"/>
          <w:color w:val="auto"/>
          <w:sz w:val="24"/>
          <w:szCs w:val="24"/>
        </w:rPr>
        <w:t>:</w:t>
      </w:r>
      <w:r w:rsidRPr="009812B5">
        <w:rPr>
          <w:rFonts w:ascii="Times New Roman" w:hAnsi="Times New Roman" w:cs="Times New Roman"/>
          <w:i w:val="0"/>
          <w:iCs w:val="0"/>
          <w:color w:val="auto"/>
          <w:sz w:val="24"/>
          <w:szCs w:val="24"/>
        </w:rPr>
        <w:t xml:space="preserve"> Molecular structure of used amino acids.</w:t>
      </w:r>
    </w:p>
    <w:p w14:paraId="1E7DEAB6" w14:textId="77777777" w:rsidR="00D65CBA" w:rsidRPr="009812B5" w:rsidRDefault="00D65CBA" w:rsidP="00D65CBA">
      <w:pPr>
        <w:pStyle w:val="Heading2"/>
        <w:numPr>
          <w:ilvl w:val="1"/>
          <w:numId w:val="2"/>
        </w:numPr>
        <w:spacing w:before="120" w:after="120" w:line="276" w:lineRule="auto"/>
        <w:rPr>
          <w:rFonts w:ascii="Times New Roman" w:hAnsi="Times New Roman" w:cs="Times New Roman"/>
          <w:b/>
          <w:bCs/>
          <w:color w:val="auto"/>
          <w:sz w:val="24"/>
          <w:szCs w:val="24"/>
        </w:rPr>
      </w:pPr>
      <w:r w:rsidRPr="009812B5">
        <w:rPr>
          <w:rFonts w:ascii="Times New Roman" w:hAnsi="Times New Roman" w:cs="Times New Roman"/>
          <w:b/>
          <w:bCs/>
          <w:color w:val="auto"/>
          <w:sz w:val="24"/>
          <w:szCs w:val="24"/>
        </w:rPr>
        <w:t>Gravimetric Measurements</w:t>
      </w:r>
    </w:p>
    <w:p w14:paraId="5FA1FDD7" w14:textId="77777777" w:rsidR="00D65CBA" w:rsidRPr="009812B5" w:rsidRDefault="00D65CBA" w:rsidP="00D65CBA">
      <w:pPr>
        <w:autoSpaceDE w:val="0"/>
        <w:autoSpaceDN w:val="0"/>
        <w:adjustRightInd w:val="0"/>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The mild-steel coupons with almost equal sizes and masses were used to determine the inhibition efficiency via gravimetric mass-loss measurements. The weight loss was</w:t>
      </w:r>
      <w:r>
        <w:rPr>
          <w:rFonts w:ascii="Times New Roman" w:hAnsi="Times New Roman" w:cs="Times New Roman"/>
          <w:sz w:val="24"/>
          <w:szCs w:val="24"/>
        </w:rPr>
        <w:t xml:space="preserve"> measured as</w:t>
      </w:r>
      <w:r w:rsidRPr="009812B5">
        <w:rPr>
          <w:rFonts w:ascii="Times New Roman" w:hAnsi="Times New Roman" w:cs="Times New Roman"/>
          <w:sz w:val="24"/>
          <w:szCs w:val="24"/>
        </w:rPr>
        <w:t xml:space="preserve"> the difference between the weight at a given time and the initial weight of the specimens. Mild steel coupons (10mm x 10mm x 2mm) were immersed in 0.5 M HCl for 24 h in the absence and presence of amino acid inhibitors with different concentrations of 0.002% to 0.02% wt. </w:t>
      </w:r>
      <w:r>
        <w:rPr>
          <w:rFonts w:ascii="Times New Roman" w:hAnsi="Times New Roman" w:cs="Times New Roman"/>
          <w:sz w:val="24"/>
          <w:szCs w:val="24"/>
        </w:rPr>
        <w:t>Then</w:t>
      </w:r>
      <w:r w:rsidRPr="009812B5">
        <w:rPr>
          <w:rFonts w:ascii="Times New Roman" w:hAnsi="Times New Roman" w:cs="Times New Roman"/>
          <w:sz w:val="24"/>
          <w:szCs w:val="24"/>
        </w:rPr>
        <w:t>, the steel coupons were rinsed with acetone, dried in air, and reweighted. The average relative mass loss of the mild-steel coupons was determined from three individual measurements. All the measurements were taken at room temperature. The corrosion rate (CR) and inhibition efficiency (IE) were calculated by the following equations: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65CBA" w:rsidRPr="003062DB" w14:paraId="221F4BA7" w14:textId="77777777" w:rsidTr="00AD679A">
        <w:trPr>
          <w:trHeight w:val="602"/>
        </w:trPr>
        <w:tc>
          <w:tcPr>
            <w:tcW w:w="4675" w:type="dxa"/>
            <w:vAlign w:val="center"/>
          </w:tcPr>
          <w:p w14:paraId="64940402" w14:textId="77777777" w:rsidR="00D65CBA" w:rsidRPr="006C0A93" w:rsidRDefault="00D65CBA" w:rsidP="00AD679A">
            <w:pPr>
              <w:autoSpaceDE w:val="0"/>
              <w:autoSpaceDN w:val="0"/>
              <w:adjustRightInd w:val="0"/>
              <w:spacing w:before="120" w:after="120" w:line="276" w:lineRule="auto"/>
              <w:rPr>
                <w:rFonts w:ascii="Times New Roman" w:hAnsi="Times New Roman" w:cs="Times New Roman"/>
                <w:sz w:val="24"/>
                <w:szCs w:val="24"/>
              </w:rPr>
            </w:pPr>
            <m:oMathPara>
              <m:oMathParaPr>
                <m:jc m:val="left"/>
              </m:oMathParaPr>
              <m:oMath>
                <m:r>
                  <m:rPr>
                    <m:nor/>
                  </m:rPr>
                  <w:rPr>
                    <w:rFonts w:ascii="Times New Roman" w:hAnsi="Times New Roman" w:cs="Times New Roman"/>
                    <w:iCs/>
                    <w:sz w:val="24"/>
                    <w:szCs w:val="24"/>
                  </w:rPr>
                  <m:t>CR</m:t>
                </m:r>
                <m:r>
                  <m:rPr>
                    <m:nor/>
                  </m:rPr>
                  <w:rPr>
                    <w:rFonts w:ascii="Times New Roman" w:hAnsi="Times New Roman" w:cs="Times New Roman"/>
                    <w:sz w:val="24"/>
                    <w:szCs w:val="24"/>
                  </w:rPr>
                  <m:t xml:space="preserve"> </m:t>
                </m:r>
                <m:d>
                  <m:dPr>
                    <m:ctrlPr>
                      <w:rPr>
                        <w:rFonts w:ascii="Cambria Math" w:hAnsi="Cambria Math" w:cs="Times New Roman"/>
                        <w:sz w:val="24"/>
                        <w:szCs w:val="24"/>
                      </w:rPr>
                    </m:ctrlPr>
                  </m:dPr>
                  <m:e>
                    <m:r>
                      <m:rPr>
                        <m:nor/>
                      </m:rPr>
                      <w:rPr>
                        <w:rFonts w:ascii="Times New Roman" w:hAnsi="Times New Roman" w:cs="Times New Roman"/>
                        <w:iCs/>
                        <w:sz w:val="24"/>
                        <w:szCs w:val="24"/>
                      </w:rPr>
                      <m:t>mmy</m:t>
                    </m:r>
                  </m:e>
                </m:d>
                <m:r>
                  <m:rPr>
                    <m:nor/>
                  </m:rPr>
                  <w:rPr>
                    <w:rFonts w:ascii="Times New Roman" w:hAnsi="Times New Roman" w:cs="Times New Roman"/>
                    <w:sz w:val="24"/>
                    <w:szCs w:val="24"/>
                  </w:rPr>
                  <m:t>=</m:t>
                </m:r>
                <m:f>
                  <m:fPr>
                    <m:ctrlPr>
                      <w:rPr>
                        <w:rFonts w:ascii="Cambria Math" w:hAnsi="Cambria Math" w:cs="Times New Roman"/>
                        <w:sz w:val="24"/>
                        <w:szCs w:val="24"/>
                      </w:rPr>
                    </m:ctrlPr>
                  </m:fPr>
                  <m:num>
                    <m:r>
                      <m:rPr>
                        <m:nor/>
                      </m:rPr>
                      <w:rPr>
                        <w:rFonts w:ascii="Times New Roman" w:hAnsi="Times New Roman" w:cs="Times New Roman"/>
                        <w:iCs/>
                        <w:sz w:val="24"/>
                        <w:szCs w:val="24"/>
                      </w:rPr>
                      <m:t>KW</m:t>
                    </m:r>
                  </m:num>
                  <m:den>
                    <m:r>
                      <m:rPr>
                        <m:nor/>
                      </m:rPr>
                      <w:rPr>
                        <w:rFonts w:ascii="Times New Roman" w:hAnsi="Times New Roman" w:cs="Times New Roman"/>
                        <w:iCs/>
                        <w:sz w:val="24"/>
                        <w:szCs w:val="24"/>
                      </w:rPr>
                      <m:t>ρAt</m:t>
                    </m:r>
                  </m:den>
                </m:f>
              </m:oMath>
            </m:oMathPara>
          </w:p>
        </w:tc>
        <w:tc>
          <w:tcPr>
            <w:tcW w:w="4675" w:type="dxa"/>
            <w:vAlign w:val="center"/>
          </w:tcPr>
          <w:p w14:paraId="1D6AB7F1" w14:textId="77777777" w:rsidR="00D65CBA" w:rsidRPr="003062DB" w:rsidRDefault="00D65CBA" w:rsidP="00AD679A">
            <w:pPr>
              <w:autoSpaceDE w:val="0"/>
              <w:autoSpaceDN w:val="0"/>
              <w:adjustRightInd w:val="0"/>
              <w:spacing w:before="120" w:after="120" w:line="276" w:lineRule="auto"/>
              <w:jc w:val="right"/>
              <w:rPr>
                <w:rFonts w:ascii="Times New Roman" w:hAnsi="Times New Roman" w:cs="Times New Roman"/>
                <w:sz w:val="24"/>
                <w:szCs w:val="24"/>
              </w:rPr>
            </w:pPr>
            <w:r w:rsidRPr="003062DB">
              <w:rPr>
                <w:rFonts w:ascii="Times New Roman" w:hAnsi="Times New Roman" w:cs="Times New Roman"/>
                <w:sz w:val="24"/>
                <w:szCs w:val="24"/>
              </w:rPr>
              <w:t>(1)</w:t>
            </w:r>
          </w:p>
        </w:tc>
      </w:tr>
    </w:tbl>
    <w:p w14:paraId="25A61ADD" w14:textId="77777777" w:rsidR="00D65CBA" w:rsidRPr="009812B5" w:rsidRDefault="00D65CBA" w:rsidP="00D65CBA">
      <w:pPr>
        <w:autoSpaceDE w:val="0"/>
        <w:autoSpaceDN w:val="0"/>
        <w:adjustRightInd w:val="0"/>
        <w:spacing w:before="120" w:after="120" w:line="276" w:lineRule="auto"/>
        <w:rPr>
          <w:rFonts w:ascii="Times New Roman" w:eastAsiaTheme="minorEastAsia" w:hAnsi="Times New Roman" w:cs="Times New Roman"/>
          <w:sz w:val="24"/>
          <w:szCs w:val="24"/>
        </w:rPr>
      </w:pPr>
      <w:r>
        <w:rPr>
          <w:rFonts w:ascii="Times New Roman" w:hAnsi="Times New Roman" w:cs="Times New Roman"/>
          <w:sz w:val="24"/>
          <w:szCs w:val="24"/>
        </w:rPr>
        <w:t>w</w:t>
      </w:r>
      <w:r w:rsidRPr="009812B5">
        <w:rPr>
          <w:rFonts w:ascii="Times New Roman" w:hAnsi="Times New Roman" w:cs="Times New Roman"/>
          <w:sz w:val="24"/>
          <w:szCs w:val="24"/>
        </w:rPr>
        <w:t xml:space="preserve">here </w:t>
      </w:r>
      <w:r>
        <w:rPr>
          <w:rFonts w:ascii="Times New Roman" w:hAnsi="Times New Roman" w:cs="Times New Roman"/>
          <w:sz w:val="24"/>
          <w:szCs w:val="24"/>
        </w:rPr>
        <w:t>W</w:t>
      </w:r>
      <w:r w:rsidRPr="009812B5">
        <w:rPr>
          <w:rFonts w:ascii="Times New Roman" w:eastAsiaTheme="minorEastAsia" w:hAnsi="Times New Roman" w:cs="Times New Roman"/>
          <w:sz w:val="24"/>
          <w:szCs w:val="24"/>
        </w:rPr>
        <w:t xml:space="preserve"> is the weight loss (in g), </w:t>
      </w:r>
      <m:oMath>
        <m:r>
          <m:rPr>
            <m:nor/>
          </m:rPr>
          <w:rPr>
            <w:rFonts w:ascii="Times New Roman" w:hAnsi="Times New Roman" w:cs="Times New Roman"/>
            <w:iCs/>
            <w:sz w:val="24"/>
            <w:szCs w:val="24"/>
          </w:rPr>
          <m:t>ρ</m:t>
        </m:r>
      </m:oMath>
      <w:r w:rsidRPr="009812B5">
        <w:rPr>
          <w:rFonts w:ascii="Times New Roman" w:eastAsiaTheme="minorEastAsia" w:hAnsi="Times New Roman" w:cs="Times New Roman"/>
          <w:sz w:val="24"/>
          <w:szCs w:val="24"/>
        </w:rPr>
        <w:t xml:space="preserve"> is the density (gcm</w:t>
      </w:r>
      <w:r w:rsidRPr="009812B5">
        <w:rPr>
          <w:rFonts w:ascii="Times New Roman" w:eastAsiaTheme="minorEastAsia" w:hAnsi="Times New Roman" w:cs="Times New Roman"/>
          <w:sz w:val="24"/>
          <w:szCs w:val="24"/>
          <w:vertAlign w:val="superscript"/>
        </w:rPr>
        <w:t>-3</w:t>
      </w:r>
      <w:r w:rsidRPr="009812B5">
        <w:rPr>
          <w:rFonts w:ascii="Times New Roman" w:eastAsiaTheme="minorEastAsia" w:hAnsi="Times New Roman" w:cs="Times New Roman"/>
          <w:sz w:val="24"/>
          <w:szCs w:val="24"/>
        </w:rPr>
        <w:t xml:space="preserve">), A is the exposed area of the specimen (cm), and t is the exposure time ( h). K is a constant that can be varied to calculate the corrosion rate in various units. For the case of mm/year for corrosion rate calculation, K is equal to </w:t>
      </w:r>
      <w:r w:rsidRPr="009812B5">
        <w:rPr>
          <w:rFonts w:ascii="Times New Roman" w:hAnsi="Times New Roman" w:cs="Times New Roman"/>
          <w:sz w:val="24"/>
          <w:szCs w:val="24"/>
        </w:rPr>
        <w:t>8.75x10</w:t>
      </w:r>
      <w:r w:rsidRPr="009812B5">
        <w:rPr>
          <w:rFonts w:ascii="Times New Roman" w:hAnsi="Times New Roman" w:cs="Times New Roman"/>
          <w:sz w:val="24"/>
          <w:szCs w:val="24"/>
          <w:vertAlign w:val="superscript"/>
        </w:rPr>
        <w:t>4</w:t>
      </w:r>
      <w:r w:rsidRPr="009812B5">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65CBA" w:rsidRPr="009812B5" w14:paraId="1EB3FCA5" w14:textId="77777777" w:rsidTr="00AD679A">
        <w:tc>
          <w:tcPr>
            <w:tcW w:w="4675" w:type="dxa"/>
            <w:vAlign w:val="center"/>
          </w:tcPr>
          <w:p w14:paraId="706157EA" w14:textId="77777777" w:rsidR="00D65CBA" w:rsidRPr="006C0A93" w:rsidRDefault="00000000" w:rsidP="00AD679A">
            <w:pPr>
              <w:autoSpaceDE w:val="0"/>
              <w:autoSpaceDN w:val="0"/>
              <w:adjustRightInd w:val="0"/>
              <w:spacing w:before="120" w:after="120" w:line="276"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IE</m:t>
                    </m:r>
                  </m:e>
                  <m:sub>
                    <m:r>
                      <m:rPr>
                        <m:nor/>
                      </m:rPr>
                      <w:rPr>
                        <w:rFonts w:ascii="Times New Roman" w:eastAsiaTheme="minorEastAsia" w:hAnsi="Times New Roman" w:cs="Times New Roman"/>
                        <w:sz w:val="24"/>
                        <w:szCs w:val="24"/>
                      </w:rPr>
                      <m:t>WL</m:t>
                    </m:r>
                  </m:sub>
                </m:sSub>
                <m:d>
                  <m:dPr>
                    <m:ctrlPr>
                      <w:rPr>
                        <w:rFonts w:ascii="Cambria Math" w:eastAsiaTheme="minorEastAsia" w:hAnsi="Cambria Math" w:cs="Times New Roman"/>
                        <w:sz w:val="24"/>
                        <w:szCs w:val="24"/>
                      </w:rPr>
                    </m:ctrlPr>
                  </m:dPr>
                  <m:e>
                    <m:r>
                      <m:rPr>
                        <m:nor/>
                      </m:rPr>
                      <w:rPr>
                        <w:rFonts w:ascii="Times New Roman" w:eastAsiaTheme="minorEastAsia" w:hAnsi="Times New Roman" w:cs="Times New Roman"/>
                        <w:sz w:val="24"/>
                        <w:szCs w:val="24"/>
                      </w:rPr>
                      <m:t>%</m:t>
                    </m:r>
                  </m:e>
                </m:d>
                <m:r>
                  <m:rPr>
                    <m:nor/>
                  </m:rPr>
                  <w:rPr>
                    <w:rFonts w:ascii="Times New Roman" w:eastAsiaTheme="minorEastAsia" w:hAnsi="Times New Roman"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CR</m:t>
                        </m:r>
                      </m:e>
                      <m:sub>
                        <m:r>
                          <m:rPr>
                            <m:nor/>
                          </m:rPr>
                          <w:rPr>
                            <w:rFonts w:ascii="Times New Roman" w:eastAsiaTheme="minorEastAsia" w:hAnsi="Times New Roman" w:cs="Times New Roman"/>
                            <w:sz w:val="24"/>
                            <w:szCs w:val="24"/>
                          </w:rPr>
                          <m:t>0</m:t>
                        </m:r>
                      </m:sub>
                    </m:sSub>
                    <m:r>
                      <m:rPr>
                        <m:nor/>
                      </m:rPr>
                      <w:rPr>
                        <w:rFonts w:ascii="Times New Roman" w:eastAsiaTheme="minorEastAsia" w:hAnsi="Times New Roman" w:cs="Times New Roman"/>
                        <w:sz w:val="24"/>
                        <w:szCs w:val="24"/>
                      </w:rPr>
                      <m:t>-</m:t>
                    </m:r>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CR</m:t>
                        </m:r>
                      </m:e>
                      <m:sub>
                        <m:r>
                          <m:rPr>
                            <m:nor/>
                          </m:rPr>
                          <w:rPr>
                            <w:rFonts w:ascii="Times New Roman" w:eastAsiaTheme="minorEastAsia" w:hAnsi="Times New Roman" w:cs="Times New Roman"/>
                            <w:sz w:val="24"/>
                            <w:szCs w:val="24"/>
                          </w:rPr>
                          <m:t>i</m:t>
                        </m:r>
                      </m:sub>
                    </m:sSub>
                  </m:num>
                  <m:den>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CR</m:t>
                        </m:r>
                      </m:e>
                      <m:sub>
                        <m:r>
                          <m:rPr>
                            <m:nor/>
                          </m:rPr>
                          <w:rPr>
                            <w:rFonts w:ascii="Times New Roman" w:eastAsiaTheme="minorEastAsia" w:hAnsi="Times New Roman" w:cs="Times New Roman"/>
                            <w:sz w:val="24"/>
                            <w:szCs w:val="24"/>
                          </w:rPr>
                          <m:t>0</m:t>
                        </m:r>
                      </m:sub>
                    </m:sSub>
                  </m:den>
                </m:f>
                <m:r>
                  <m:rPr>
                    <m:nor/>
                  </m:rPr>
                  <w:rPr>
                    <w:rFonts w:ascii="Times New Roman" w:eastAsiaTheme="minorEastAsia" w:hAnsi="Times New Roman" w:cs="Times New Roman"/>
                    <w:sz w:val="24"/>
                    <w:szCs w:val="24"/>
                  </w:rPr>
                  <m:t xml:space="preserve"> x 100</m:t>
                </m:r>
              </m:oMath>
            </m:oMathPara>
          </w:p>
        </w:tc>
        <w:tc>
          <w:tcPr>
            <w:tcW w:w="4675" w:type="dxa"/>
            <w:vAlign w:val="center"/>
          </w:tcPr>
          <w:p w14:paraId="61769EB9" w14:textId="77777777" w:rsidR="00D65CBA" w:rsidRPr="009812B5" w:rsidRDefault="00D65CBA" w:rsidP="00AD679A">
            <w:pPr>
              <w:autoSpaceDE w:val="0"/>
              <w:autoSpaceDN w:val="0"/>
              <w:adjustRightInd w:val="0"/>
              <w:spacing w:before="120" w:after="120" w:line="276" w:lineRule="auto"/>
              <w:jc w:val="right"/>
              <w:rPr>
                <w:rFonts w:ascii="Times New Roman" w:eastAsiaTheme="minorEastAsia" w:hAnsi="Times New Roman" w:cs="Times New Roman"/>
                <w:sz w:val="24"/>
                <w:szCs w:val="24"/>
              </w:rPr>
            </w:pPr>
            <w:r w:rsidRPr="009812B5">
              <w:rPr>
                <w:rFonts w:ascii="Times New Roman" w:eastAsiaTheme="minorEastAsia" w:hAnsi="Times New Roman" w:cs="Times New Roman"/>
                <w:sz w:val="24"/>
                <w:szCs w:val="24"/>
              </w:rPr>
              <w:t>(2)</w:t>
            </w:r>
          </w:p>
        </w:tc>
      </w:tr>
    </w:tbl>
    <w:p w14:paraId="79F00CD2" w14:textId="77777777" w:rsidR="00D65CBA" w:rsidRPr="009812B5" w:rsidRDefault="00D65CBA" w:rsidP="00D65CBA">
      <w:pPr>
        <w:autoSpaceDE w:val="0"/>
        <w:autoSpaceDN w:val="0"/>
        <w:adjustRightInd w:val="0"/>
        <w:spacing w:before="120" w:after="240" w:line="276" w:lineRule="auto"/>
        <w:rPr>
          <w:rFonts w:ascii="Times New Roman" w:eastAsiaTheme="minorEastAsia" w:hAnsi="Times New Roman" w:cs="Times New Roman"/>
          <w:sz w:val="24"/>
          <w:szCs w:val="24"/>
        </w:rPr>
      </w:pPr>
      <w:r w:rsidRPr="009812B5">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CR</m:t>
            </m:r>
          </m:e>
          <m:sub>
            <m:r>
              <m:rPr>
                <m:nor/>
              </m:rPr>
              <w:rPr>
                <w:rFonts w:ascii="Times New Roman" w:eastAsiaTheme="minorEastAsia" w:hAnsi="Times New Roman" w:cs="Times New Roman"/>
                <w:sz w:val="24"/>
                <w:szCs w:val="24"/>
              </w:rPr>
              <m:t>0</m:t>
            </m:r>
          </m:sub>
        </m:sSub>
      </m:oMath>
      <w:r w:rsidRPr="009812B5">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CR</m:t>
            </m:r>
          </m:e>
          <m:sub>
            <m:r>
              <m:rPr>
                <m:nor/>
              </m:rPr>
              <w:rPr>
                <w:rFonts w:ascii="Times New Roman" w:eastAsiaTheme="minorEastAsia" w:hAnsi="Times New Roman" w:cs="Times New Roman"/>
                <w:sz w:val="24"/>
                <w:szCs w:val="24"/>
              </w:rPr>
              <m:t>i</m:t>
            </m:r>
          </m:sub>
        </m:sSub>
      </m:oMath>
      <w:r w:rsidRPr="009812B5">
        <w:rPr>
          <w:rFonts w:ascii="Times New Roman" w:eastAsiaTheme="minorEastAsia" w:hAnsi="Times New Roman" w:cs="Times New Roman"/>
          <w:sz w:val="24"/>
          <w:szCs w:val="24"/>
        </w:rPr>
        <w:t xml:space="preserve"> </w:t>
      </w:r>
      <w:r>
        <w:rPr>
          <w:rFonts w:ascii="Times New Roman" w:eastAsiaTheme="minorEastAsia" w:hAnsi="Times New Roman" w:cs="Times New Roman"/>
          <w:sz w:val="24"/>
          <w:szCs w:val="24"/>
        </w:rPr>
        <w:t xml:space="preserve">are the </w:t>
      </w:r>
      <w:r w:rsidRPr="009812B5">
        <w:rPr>
          <w:rFonts w:ascii="Times New Roman" w:eastAsiaTheme="minorEastAsia" w:hAnsi="Times New Roman" w:cs="Times New Roman"/>
          <w:sz w:val="24"/>
          <w:szCs w:val="24"/>
        </w:rPr>
        <w:t xml:space="preserve">corrosion rate of mild steel in the absence and presence of inhibitor respectively. </w:t>
      </w:r>
    </w:p>
    <w:p w14:paraId="0928CE0D" w14:textId="77777777" w:rsidR="00D65CBA" w:rsidRPr="009812B5" w:rsidRDefault="00D65CBA" w:rsidP="00D65CBA">
      <w:pPr>
        <w:pStyle w:val="Heading2"/>
        <w:numPr>
          <w:ilvl w:val="1"/>
          <w:numId w:val="2"/>
        </w:numPr>
        <w:spacing w:before="120" w:after="120" w:line="276" w:lineRule="auto"/>
        <w:rPr>
          <w:rFonts w:ascii="Times New Roman" w:hAnsi="Times New Roman" w:cs="Times New Roman"/>
          <w:b/>
          <w:bCs/>
          <w:color w:val="auto"/>
          <w:sz w:val="24"/>
          <w:szCs w:val="24"/>
        </w:rPr>
      </w:pPr>
      <w:r w:rsidRPr="009812B5">
        <w:rPr>
          <w:rFonts w:ascii="Times New Roman" w:hAnsi="Times New Roman" w:cs="Times New Roman"/>
          <w:b/>
          <w:bCs/>
          <w:color w:val="auto"/>
          <w:sz w:val="24"/>
          <w:szCs w:val="24"/>
        </w:rPr>
        <w:lastRenderedPageBreak/>
        <w:t>Electrochemical Measurements</w:t>
      </w:r>
    </w:p>
    <w:p w14:paraId="7D7582A4" w14:textId="77777777" w:rsidR="00D65CBA" w:rsidRPr="009812B5" w:rsidRDefault="00D65CBA" w:rsidP="00D65CBA">
      <w:pPr>
        <w:autoSpaceDE w:val="0"/>
        <w:autoSpaceDN w:val="0"/>
        <w:adjustRightInd w:val="0"/>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Electrochemical experiments were conducted in a conventional three-electrode glass cell, using a Gamry Reference 600 potentiostat. Mild steel coupons were used as the working electrode. The saturated calomel electrode (SCE) and platinum sheet electrode were used as reference electrode and counter electrode, respectively. Before carrying out the electrochemical tests, the working electrode was immersed in electrolytic solution for 30 minutes to ensure that there is a steady-state potential on the electrode surface. The open circuit potential (OCP) of the corroding system was monitored for 30 minutes to ensure a steady-state condition. In this work, all the electrochemical experiments were repeated three times to examine the reproducibility of the electrochemical data.  </w:t>
      </w:r>
    </w:p>
    <w:p w14:paraId="2021B714" w14:textId="77777777" w:rsidR="00D65CBA" w:rsidRPr="009812B5" w:rsidRDefault="00D65CBA" w:rsidP="00D65CBA">
      <w:pPr>
        <w:autoSpaceDE w:val="0"/>
        <w:autoSpaceDN w:val="0"/>
        <w:adjustRightInd w:val="0"/>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Electrochemical impedance spectroscopy (EIS) was conducted at corrosion potentials (</w:t>
      </w:r>
      <w:r w:rsidRPr="009812B5">
        <w:rPr>
          <w:rFonts w:ascii="Times New Roman" w:hAnsi="Times New Roman" w:cs="Times New Roman"/>
          <w:i/>
          <w:iCs/>
          <w:sz w:val="24"/>
          <w:szCs w:val="24"/>
        </w:rPr>
        <w:t>E</w:t>
      </w:r>
      <w:r w:rsidRPr="009812B5">
        <w:rPr>
          <w:rFonts w:ascii="Times New Roman" w:hAnsi="Times New Roman" w:cs="Times New Roman"/>
          <w:sz w:val="24"/>
          <w:szCs w:val="24"/>
        </w:rPr>
        <w:t xml:space="preserve">corr) over a frequency range of 100 kHz–10 MHz, with amplitude signal of 10 mV acquiring 10 points/decade. The obtained EIS data were interpreted with Gamry Echem Analyst. With EIS results, the corrosion inhibition efficiency was obtained according to Equation 3.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65CBA" w:rsidRPr="009812B5" w14:paraId="741F9311" w14:textId="77777777" w:rsidTr="00AD679A">
        <w:tc>
          <w:tcPr>
            <w:tcW w:w="4675" w:type="dxa"/>
            <w:vAlign w:val="center"/>
          </w:tcPr>
          <w:p w14:paraId="48794A83" w14:textId="77777777" w:rsidR="00D65CBA" w:rsidRPr="00452058" w:rsidRDefault="00000000" w:rsidP="00AD679A">
            <w:pPr>
              <w:autoSpaceDE w:val="0"/>
              <w:autoSpaceDN w:val="0"/>
              <w:adjustRightInd w:val="0"/>
              <w:spacing w:before="120" w:after="120" w:line="276" w:lineRule="auto"/>
              <w:rPr>
                <w:rFonts w:ascii="Times New Roman" w:eastAsiaTheme="minorEastAsia" w:hAnsi="Times New Roman" w:cs="Times New Roman"/>
                <w:sz w:val="24"/>
                <w:szCs w:val="24"/>
              </w:rPr>
            </w:pPr>
            <m:oMathPara>
              <m:oMathParaPr>
                <m:jc m:val="left"/>
              </m:oMathParaPr>
              <m:oMath>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IE</m:t>
                    </m:r>
                  </m:e>
                  <m:sub>
                    <m:r>
                      <m:rPr>
                        <m:nor/>
                      </m:rPr>
                      <w:rPr>
                        <w:rFonts w:ascii="Times New Roman" w:eastAsiaTheme="minorEastAsia" w:hAnsi="Times New Roman" w:cs="Times New Roman"/>
                        <w:sz w:val="24"/>
                        <w:szCs w:val="24"/>
                      </w:rPr>
                      <m:t>EIS</m:t>
                    </m:r>
                  </m:sub>
                </m:sSub>
                <m:d>
                  <m:dPr>
                    <m:ctrlPr>
                      <w:rPr>
                        <w:rFonts w:ascii="Cambria Math" w:eastAsiaTheme="minorEastAsia" w:hAnsi="Cambria Math" w:cs="Times New Roman"/>
                        <w:sz w:val="24"/>
                        <w:szCs w:val="24"/>
                      </w:rPr>
                    </m:ctrlPr>
                  </m:dPr>
                  <m:e>
                    <m:r>
                      <m:rPr>
                        <m:nor/>
                      </m:rPr>
                      <w:rPr>
                        <w:rFonts w:ascii="Times New Roman" w:eastAsiaTheme="minorEastAsia" w:hAnsi="Times New Roman" w:cs="Times New Roman"/>
                        <w:sz w:val="24"/>
                        <w:szCs w:val="24"/>
                      </w:rPr>
                      <m:t>%</m:t>
                    </m:r>
                  </m:e>
                </m:d>
                <m:r>
                  <m:rPr>
                    <m:nor/>
                  </m:rPr>
                  <w:rPr>
                    <w:rFonts w:ascii="Times New Roman" w:eastAsiaTheme="minorEastAsia" w:hAnsi="Times New Roman"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R</m:t>
                        </m:r>
                      </m:e>
                      <m:sub>
                        <m:r>
                          <m:rPr>
                            <m:nor/>
                          </m:rPr>
                          <w:rPr>
                            <w:rFonts w:ascii="Times New Roman" w:eastAsiaTheme="minorEastAsia" w:hAnsi="Times New Roman" w:cs="Times New Roman"/>
                            <w:sz w:val="24"/>
                            <w:szCs w:val="24"/>
                          </w:rPr>
                          <m:t>ct</m:t>
                        </m:r>
                      </m:sub>
                    </m:sSub>
                    <m:r>
                      <m:rPr>
                        <m:nor/>
                      </m:rPr>
                      <w:rPr>
                        <w:rFonts w:ascii="Times New Roman" w:eastAsiaTheme="minorEastAsia" w:hAnsi="Times New Roman" w:cs="Times New Roman"/>
                        <w:sz w:val="24"/>
                        <w:szCs w:val="24"/>
                      </w:rPr>
                      <m:t>-</m:t>
                    </m:r>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R</m:t>
                        </m:r>
                      </m:e>
                      <m:sub>
                        <m:r>
                          <m:rPr>
                            <m:nor/>
                          </m:rPr>
                          <w:rPr>
                            <w:rFonts w:ascii="Times New Roman" w:eastAsiaTheme="minorEastAsia" w:hAnsi="Times New Roman" w:cs="Times New Roman"/>
                            <w:sz w:val="24"/>
                            <w:szCs w:val="24"/>
                          </w:rPr>
                          <m:t>ct,0</m:t>
                        </m:r>
                      </m:sub>
                    </m:sSub>
                  </m:num>
                  <m:den>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R</m:t>
                        </m:r>
                      </m:e>
                      <m:sub>
                        <m:r>
                          <m:rPr>
                            <m:nor/>
                          </m:rPr>
                          <w:rPr>
                            <w:rFonts w:ascii="Times New Roman" w:eastAsiaTheme="minorEastAsia" w:hAnsi="Times New Roman" w:cs="Times New Roman"/>
                            <w:sz w:val="24"/>
                            <w:szCs w:val="24"/>
                          </w:rPr>
                          <m:t>ct</m:t>
                        </m:r>
                      </m:sub>
                    </m:sSub>
                  </m:den>
                </m:f>
                <m:r>
                  <m:rPr>
                    <m:nor/>
                  </m:rPr>
                  <w:rPr>
                    <w:rFonts w:ascii="Times New Roman" w:eastAsiaTheme="minorEastAsia" w:hAnsi="Times New Roman" w:cs="Times New Roman"/>
                    <w:sz w:val="24"/>
                    <w:szCs w:val="24"/>
                  </w:rPr>
                  <m:t xml:space="preserve"> x 100</m:t>
                </m:r>
              </m:oMath>
            </m:oMathPara>
          </w:p>
        </w:tc>
        <w:tc>
          <w:tcPr>
            <w:tcW w:w="4675" w:type="dxa"/>
            <w:vAlign w:val="center"/>
          </w:tcPr>
          <w:p w14:paraId="702C7208" w14:textId="77777777" w:rsidR="00D65CBA" w:rsidRPr="009812B5" w:rsidRDefault="00D65CBA" w:rsidP="00AD679A">
            <w:pPr>
              <w:autoSpaceDE w:val="0"/>
              <w:autoSpaceDN w:val="0"/>
              <w:adjustRightInd w:val="0"/>
              <w:spacing w:before="120" w:after="120" w:line="276" w:lineRule="auto"/>
              <w:jc w:val="right"/>
              <w:rPr>
                <w:rFonts w:ascii="Times New Roman" w:eastAsiaTheme="minorEastAsia" w:hAnsi="Times New Roman" w:cs="Times New Roman"/>
                <w:sz w:val="24"/>
                <w:szCs w:val="24"/>
              </w:rPr>
            </w:pPr>
            <w:r w:rsidRPr="009812B5">
              <w:rPr>
                <w:rFonts w:ascii="Times New Roman" w:eastAsiaTheme="minorEastAsia" w:hAnsi="Times New Roman" w:cs="Times New Roman"/>
                <w:sz w:val="24"/>
                <w:szCs w:val="24"/>
              </w:rPr>
              <w:t>(3)</w:t>
            </w:r>
          </w:p>
        </w:tc>
      </w:tr>
    </w:tbl>
    <w:p w14:paraId="7A59DE3F" w14:textId="77777777" w:rsidR="00D65CBA" w:rsidRPr="009812B5" w:rsidRDefault="00D65CBA" w:rsidP="00D65CBA">
      <w:pPr>
        <w:autoSpaceDE w:val="0"/>
        <w:autoSpaceDN w:val="0"/>
        <w:adjustRightInd w:val="0"/>
        <w:spacing w:before="120" w:after="120" w:line="276" w:lineRule="auto"/>
        <w:rPr>
          <w:rFonts w:ascii="Times New Roman" w:eastAsiaTheme="minorEastAsia" w:hAnsi="Times New Roman" w:cs="Times New Roman"/>
          <w:sz w:val="24"/>
          <w:szCs w:val="24"/>
        </w:rPr>
      </w:pPr>
      <w:r w:rsidRPr="009812B5">
        <w:rPr>
          <w:rFonts w:ascii="Times New Roman" w:eastAsiaTheme="minorEastAsia" w:hAnsi="Times New Roman" w:cs="Times New Roman"/>
          <w:sz w:val="24"/>
          <w:szCs w:val="24"/>
        </w:rPr>
        <w:t xml:space="preserve">where </w:t>
      </w:r>
      <m:oMath>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R</m:t>
            </m:r>
          </m:e>
          <m:sub>
            <m:r>
              <m:rPr>
                <m:nor/>
              </m:rPr>
              <w:rPr>
                <w:rFonts w:ascii="Times New Roman" w:eastAsiaTheme="minorEastAsia" w:hAnsi="Times New Roman" w:cs="Times New Roman"/>
                <w:sz w:val="24"/>
                <w:szCs w:val="24"/>
              </w:rPr>
              <m:t>ct,0</m:t>
            </m:r>
          </m:sub>
        </m:sSub>
      </m:oMath>
      <w:r w:rsidRPr="009812B5">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R</m:t>
            </m:r>
          </m:e>
          <m:sub>
            <m:r>
              <m:rPr>
                <m:nor/>
              </m:rPr>
              <w:rPr>
                <w:rFonts w:ascii="Times New Roman" w:eastAsiaTheme="minorEastAsia" w:hAnsi="Times New Roman" w:cs="Times New Roman"/>
                <w:sz w:val="24"/>
                <w:szCs w:val="24"/>
              </w:rPr>
              <m:t>ct</m:t>
            </m:r>
          </m:sub>
        </m:sSub>
        <m:r>
          <w:rPr>
            <w:rFonts w:ascii="Cambria Math" w:eastAsiaTheme="minorEastAsia" w:hAnsi="Cambria Math" w:cs="Times New Roman"/>
            <w:sz w:val="24"/>
            <w:szCs w:val="24"/>
          </w:rPr>
          <m:t xml:space="preserve"> </m:t>
        </m:r>
      </m:oMath>
      <w:r w:rsidRPr="009812B5">
        <w:rPr>
          <w:rFonts w:ascii="Times New Roman" w:eastAsiaTheme="minorEastAsia" w:hAnsi="Times New Roman" w:cs="Times New Roman"/>
          <w:sz w:val="24"/>
          <w:szCs w:val="24"/>
        </w:rPr>
        <w:t>are the charge transfer resistance without and with inhibitor, respectively.</w:t>
      </w:r>
    </w:p>
    <w:p w14:paraId="64B00674" w14:textId="77777777" w:rsidR="00D65CBA" w:rsidRPr="009812B5" w:rsidRDefault="00D65CBA" w:rsidP="00D65CBA">
      <w:pPr>
        <w:autoSpaceDE w:val="0"/>
        <w:autoSpaceDN w:val="0"/>
        <w:adjustRightInd w:val="0"/>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The potentiodynamic polarization (PDP) curves were carried out under the potential from −250 mV to +250 mV vs. OCP at a scan rate of 0.5 mV/s. The PDP test was conducted only for the L-Methionine test series. The inhibition efficiency was calculated from the measured Icorr values using the relationship:</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65CBA" w:rsidRPr="009812B5" w14:paraId="0DB583EE" w14:textId="77777777" w:rsidTr="00AD679A">
        <w:tc>
          <w:tcPr>
            <w:tcW w:w="4675" w:type="dxa"/>
            <w:vAlign w:val="center"/>
          </w:tcPr>
          <w:p w14:paraId="4FF47BD0" w14:textId="77777777" w:rsidR="00D65CBA" w:rsidRPr="00452058" w:rsidRDefault="00000000" w:rsidP="00AD679A">
            <w:pPr>
              <w:autoSpaceDE w:val="0"/>
              <w:autoSpaceDN w:val="0"/>
              <w:adjustRightInd w:val="0"/>
              <w:spacing w:before="120" w:after="120" w:line="276" w:lineRule="auto"/>
              <w:rPr>
                <w:rFonts w:ascii="Times New Roman" w:eastAsiaTheme="minorEastAsia" w:hAnsi="Times New Roman" w:cs="Times New Roman"/>
                <w:sz w:val="24"/>
                <w:szCs w:val="24"/>
                <w:highlight w:val="magenta"/>
              </w:rPr>
            </w:pPr>
            <m:oMathPara>
              <m:oMathParaPr>
                <m:jc m:val="left"/>
              </m:oMathParaPr>
              <m:oMath>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IE</m:t>
                    </m:r>
                  </m:e>
                  <m:sub>
                    <m:r>
                      <m:rPr>
                        <m:nor/>
                      </m:rPr>
                      <w:rPr>
                        <w:rFonts w:ascii="Times New Roman" w:eastAsiaTheme="minorEastAsia" w:hAnsi="Times New Roman" w:cs="Times New Roman"/>
                        <w:sz w:val="24"/>
                        <w:szCs w:val="24"/>
                      </w:rPr>
                      <m:t>PDP</m:t>
                    </m:r>
                  </m:sub>
                </m:sSub>
                <m:d>
                  <m:dPr>
                    <m:ctrlPr>
                      <w:rPr>
                        <w:rFonts w:ascii="Cambria Math" w:eastAsiaTheme="minorEastAsia" w:hAnsi="Cambria Math" w:cs="Times New Roman"/>
                        <w:sz w:val="24"/>
                        <w:szCs w:val="24"/>
                      </w:rPr>
                    </m:ctrlPr>
                  </m:dPr>
                  <m:e>
                    <m:r>
                      <m:rPr>
                        <m:nor/>
                      </m:rPr>
                      <w:rPr>
                        <w:rFonts w:ascii="Times New Roman" w:eastAsiaTheme="minorEastAsia" w:hAnsi="Times New Roman" w:cs="Times New Roman"/>
                        <w:sz w:val="24"/>
                        <w:szCs w:val="24"/>
                      </w:rPr>
                      <m:t>%</m:t>
                    </m:r>
                  </m:e>
                </m:d>
                <m:r>
                  <m:rPr>
                    <m:nor/>
                  </m:rPr>
                  <w:rPr>
                    <w:rFonts w:ascii="Times New Roman" w:eastAsiaTheme="minorEastAsia" w:hAnsi="Times New Roman"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I</m:t>
                        </m:r>
                      </m:e>
                      <m:sub>
                        <m:r>
                          <m:rPr>
                            <m:nor/>
                          </m:rPr>
                          <w:rPr>
                            <w:rFonts w:ascii="Times New Roman" w:eastAsiaTheme="minorEastAsia" w:hAnsi="Times New Roman" w:cs="Times New Roman"/>
                            <w:sz w:val="24"/>
                            <w:szCs w:val="24"/>
                          </w:rPr>
                          <m:t>corr,0</m:t>
                        </m:r>
                      </m:sub>
                    </m:sSub>
                    <m:r>
                      <m:rPr>
                        <m:nor/>
                      </m:rPr>
                      <w:rPr>
                        <w:rFonts w:ascii="Times New Roman" w:eastAsiaTheme="minorEastAsia" w:hAnsi="Times New Roman" w:cs="Times New Roman"/>
                        <w:sz w:val="24"/>
                        <w:szCs w:val="24"/>
                      </w:rPr>
                      <m:t>-</m:t>
                    </m:r>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I</m:t>
                        </m:r>
                      </m:e>
                      <m:sub>
                        <m:r>
                          <m:rPr>
                            <m:nor/>
                          </m:rPr>
                          <w:rPr>
                            <w:rFonts w:ascii="Times New Roman" w:eastAsiaTheme="minorEastAsia" w:hAnsi="Times New Roman" w:cs="Times New Roman"/>
                            <w:sz w:val="24"/>
                            <w:szCs w:val="24"/>
                          </w:rPr>
                          <m:t>corr</m:t>
                        </m:r>
                      </m:sub>
                    </m:sSub>
                  </m:num>
                  <m:den>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I</m:t>
                        </m:r>
                      </m:e>
                      <m:sub>
                        <m:r>
                          <m:rPr>
                            <m:nor/>
                          </m:rPr>
                          <w:rPr>
                            <w:rFonts w:ascii="Times New Roman" w:eastAsiaTheme="minorEastAsia" w:hAnsi="Times New Roman" w:cs="Times New Roman"/>
                            <w:sz w:val="24"/>
                            <w:szCs w:val="24"/>
                          </w:rPr>
                          <m:t>corr,0</m:t>
                        </m:r>
                      </m:sub>
                    </m:sSub>
                  </m:den>
                </m:f>
                <m:r>
                  <m:rPr>
                    <m:nor/>
                  </m:rPr>
                  <w:rPr>
                    <w:rFonts w:ascii="Times New Roman" w:eastAsiaTheme="minorEastAsia" w:hAnsi="Times New Roman" w:cs="Times New Roman"/>
                    <w:sz w:val="24"/>
                    <w:szCs w:val="24"/>
                  </w:rPr>
                  <m:t xml:space="preserve"> x 100</m:t>
                </m:r>
              </m:oMath>
            </m:oMathPara>
          </w:p>
        </w:tc>
        <w:tc>
          <w:tcPr>
            <w:tcW w:w="4675" w:type="dxa"/>
            <w:vAlign w:val="center"/>
          </w:tcPr>
          <w:p w14:paraId="713EB513" w14:textId="77777777" w:rsidR="00D65CBA" w:rsidRPr="009812B5" w:rsidRDefault="00D65CBA" w:rsidP="00AD679A">
            <w:pPr>
              <w:autoSpaceDE w:val="0"/>
              <w:autoSpaceDN w:val="0"/>
              <w:adjustRightInd w:val="0"/>
              <w:spacing w:before="120" w:after="120" w:line="276" w:lineRule="auto"/>
              <w:jc w:val="right"/>
              <w:rPr>
                <w:rFonts w:ascii="Times New Roman" w:eastAsiaTheme="minorEastAsia" w:hAnsi="Times New Roman" w:cs="Times New Roman"/>
                <w:sz w:val="24"/>
                <w:szCs w:val="24"/>
              </w:rPr>
            </w:pPr>
            <w:r w:rsidRPr="009812B5">
              <w:rPr>
                <w:rFonts w:ascii="Times New Roman" w:eastAsiaTheme="minorEastAsia" w:hAnsi="Times New Roman" w:cs="Times New Roman"/>
                <w:sz w:val="24"/>
                <w:szCs w:val="24"/>
              </w:rPr>
              <w:t>(4)</w:t>
            </w:r>
          </w:p>
        </w:tc>
      </w:tr>
    </w:tbl>
    <w:p w14:paraId="0792F5D7" w14:textId="77777777" w:rsidR="00D65CBA" w:rsidRPr="009812B5" w:rsidRDefault="00D65CBA" w:rsidP="00D65CBA">
      <w:pPr>
        <w:autoSpaceDE w:val="0"/>
        <w:autoSpaceDN w:val="0"/>
        <w:adjustRightInd w:val="0"/>
        <w:spacing w:before="120" w:after="240" w:line="276" w:lineRule="auto"/>
        <w:rPr>
          <w:rFonts w:ascii="Times New Roman" w:hAnsi="Times New Roman" w:cs="Times New Roman"/>
          <w:sz w:val="24"/>
          <w:szCs w:val="24"/>
        </w:rPr>
      </w:pPr>
      <w:r w:rsidRPr="009812B5">
        <w:rPr>
          <w:rFonts w:ascii="Times New Roman" w:hAnsi="Times New Roman" w:cs="Times New Roman"/>
          <w:sz w:val="24"/>
          <w:szCs w:val="24"/>
        </w:rPr>
        <w:t>where</w:t>
      </w:r>
      <w:r w:rsidRPr="00452058">
        <w:rPr>
          <w:rFonts w:ascii="Times New Roman" w:hAnsi="Times New Roman" w:cs="Times New Roman"/>
          <w:sz w:val="24"/>
          <w:szCs w:val="24"/>
        </w:rPr>
        <w:t xml:space="preserve"> </w:t>
      </w:r>
      <m:oMath>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I</m:t>
            </m:r>
          </m:e>
          <m:sub>
            <m:r>
              <m:rPr>
                <m:nor/>
              </m:rPr>
              <w:rPr>
                <w:rFonts w:ascii="Times New Roman" w:eastAsiaTheme="minorEastAsia" w:hAnsi="Times New Roman" w:cs="Times New Roman"/>
                <w:sz w:val="24"/>
                <w:szCs w:val="24"/>
              </w:rPr>
              <m:t>corr,0</m:t>
            </m:r>
          </m:sub>
        </m:sSub>
      </m:oMath>
      <w:r w:rsidRPr="009812B5">
        <w:rPr>
          <w:rFonts w:ascii="Times New Roman" w:eastAsiaTheme="minorEastAsia" w:hAnsi="Times New Roman" w:cs="Times New Roman"/>
          <w:sz w:val="24"/>
          <w:szCs w:val="24"/>
        </w:rPr>
        <w:t xml:space="preserve"> and </w:t>
      </w:r>
      <m:oMath>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I</m:t>
            </m:r>
          </m:e>
          <m:sub>
            <m:r>
              <m:rPr>
                <m:nor/>
              </m:rPr>
              <w:rPr>
                <w:rFonts w:ascii="Times New Roman" w:eastAsiaTheme="minorEastAsia" w:hAnsi="Times New Roman" w:cs="Times New Roman"/>
                <w:sz w:val="24"/>
                <w:szCs w:val="24"/>
              </w:rPr>
              <m:t>corr</m:t>
            </m:r>
          </m:sub>
        </m:sSub>
      </m:oMath>
      <w:r w:rsidRPr="00452058">
        <w:rPr>
          <w:rFonts w:ascii="Times New Roman" w:eastAsiaTheme="minorEastAsia" w:hAnsi="Times New Roman" w:cs="Times New Roman"/>
          <w:sz w:val="24"/>
          <w:szCs w:val="24"/>
        </w:rPr>
        <w:t xml:space="preserve"> </w:t>
      </w:r>
      <w:r w:rsidRPr="009812B5">
        <w:rPr>
          <w:rFonts w:ascii="Times New Roman" w:eastAsiaTheme="minorEastAsia" w:hAnsi="Times New Roman" w:cs="Times New Roman"/>
          <w:sz w:val="24"/>
          <w:szCs w:val="24"/>
        </w:rPr>
        <w:t xml:space="preserve">are the </w:t>
      </w:r>
      <w:r w:rsidRPr="009812B5">
        <w:rPr>
          <w:rFonts w:ascii="Times New Roman" w:hAnsi="Times New Roman" w:cs="Times New Roman"/>
          <w:sz w:val="24"/>
          <w:szCs w:val="24"/>
        </w:rPr>
        <w:t xml:space="preserve">corrosion current density </w:t>
      </w:r>
      <w:r w:rsidRPr="009812B5">
        <w:rPr>
          <w:rFonts w:ascii="Times New Roman" w:eastAsiaTheme="minorEastAsia" w:hAnsi="Times New Roman" w:cs="Times New Roman"/>
          <w:sz w:val="24"/>
          <w:szCs w:val="24"/>
        </w:rPr>
        <w:t>without and with inhibitor, respectively</w:t>
      </w:r>
      <w:r w:rsidRPr="009812B5">
        <w:rPr>
          <w:rFonts w:ascii="Times New Roman" w:hAnsi="Times New Roman" w:cs="Times New Roman"/>
          <w:sz w:val="24"/>
          <w:szCs w:val="24"/>
        </w:rPr>
        <w:t xml:space="preserve">. </w:t>
      </w:r>
    </w:p>
    <w:p w14:paraId="2BEDEB4F" w14:textId="77777777" w:rsidR="00D65CBA" w:rsidRPr="009812B5" w:rsidRDefault="00D65CBA" w:rsidP="00D65CBA">
      <w:pPr>
        <w:pStyle w:val="Heading1"/>
        <w:numPr>
          <w:ilvl w:val="0"/>
          <w:numId w:val="2"/>
        </w:numPr>
        <w:spacing w:before="120" w:after="120" w:line="276" w:lineRule="auto"/>
        <w:rPr>
          <w:rFonts w:ascii="Times New Roman" w:hAnsi="Times New Roman" w:cs="Times New Roman"/>
          <w:b/>
          <w:bCs/>
          <w:color w:val="auto"/>
          <w:sz w:val="24"/>
          <w:szCs w:val="24"/>
        </w:rPr>
      </w:pPr>
      <w:r w:rsidRPr="009812B5">
        <w:rPr>
          <w:rFonts w:ascii="Times New Roman" w:hAnsi="Times New Roman" w:cs="Times New Roman"/>
          <w:b/>
          <w:bCs/>
          <w:color w:val="auto"/>
          <w:sz w:val="24"/>
          <w:szCs w:val="24"/>
        </w:rPr>
        <w:t xml:space="preserve"> Results and discussion</w:t>
      </w:r>
    </w:p>
    <w:p w14:paraId="616903FF" w14:textId="77777777" w:rsidR="00D65CBA" w:rsidRPr="009812B5" w:rsidRDefault="00D65CBA" w:rsidP="00D65CBA">
      <w:pPr>
        <w:pStyle w:val="Heading2"/>
        <w:numPr>
          <w:ilvl w:val="1"/>
          <w:numId w:val="2"/>
        </w:numPr>
        <w:spacing w:before="120" w:after="120" w:line="276" w:lineRule="auto"/>
        <w:rPr>
          <w:rFonts w:ascii="Times New Roman" w:hAnsi="Times New Roman" w:cs="Times New Roman"/>
          <w:b/>
          <w:bCs/>
          <w:color w:val="auto"/>
          <w:sz w:val="24"/>
          <w:szCs w:val="24"/>
        </w:rPr>
      </w:pPr>
      <w:r w:rsidRPr="009812B5">
        <w:rPr>
          <w:rFonts w:ascii="Times New Roman" w:hAnsi="Times New Roman" w:cs="Times New Roman"/>
          <w:b/>
          <w:bCs/>
          <w:color w:val="auto"/>
          <w:sz w:val="24"/>
          <w:szCs w:val="24"/>
        </w:rPr>
        <w:t>Gravimetric Measurements</w:t>
      </w:r>
    </w:p>
    <w:p w14:paraId="14CB46B9" w14:textId="77777777" w:rsidR="00D65CBA"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The corrosion behavior of mild steel in 0.5 M HCl in the absence and presence of different concentrations of amino acids was studied using a weight loss technique and data obtained after 24 h of immersion are shown in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REF _Ref161952174 \h  \* MERGEFORMAT </w:instrText>
      </w:r>
      <w:r w:rsidRPr="009812B5">
        <w:rPr>
          <w:rFonts w:ascii="Times New Roman" w:hAnsi="Times New Roman" w:cs="Times New Roman"/>
          <w:sz w:val="24"/>
          <w:szCs w:val="24"/>
        </w:rPr>
      </w:r>
      <w:r w:rsidRPr="009812B5">
        <w:rPr>
          <w:rFonts w:ascii="Times New Roman" w:hAnsi="Times New Roman" w:cs="Times New Roman"/>
          <w:sz w:val="24"/>
          <w:szCs w:val="24"/>
        </w:rPr>
        <w:fldChar w:fldCharType="separate"/>
      </w:r>
      <w:r w:rsidRPr="001247F9">
        <w:rPr>
          <w:rFonts w:ascii="Times New Roman" w:hAnsi="Times New Roman" w:cs="Times New Roman"/>
          <w:sz w:val="24"/>
          <w:szCs w:val="24"/>
        </w:rPr>
        <w:t xml:space="preserve">Table </w:t>
      </w:r>
      <w:r w:rsidRPr="001247F9">
        <w:rPr>
          <w:rFonts w:ascii="Times New Roman" w:hAnsi="Times New Roman" w:cs="Times New Roman"/>
          <w:noProof/>
          <w:sz w:val="24"/>
          <w:szCs w:val="24"/>
        </w:rPr>
        <w:t>1</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xml:space="preserve"> . The corrosion rate of mild steel is reduced in the presence of inhibitors as compared to free acid solution and depends upon the used inhibitor concentration. For all amino acids tested, the IE increases with increasing concentration of inhibitor. </w:t>
      </w:r>
    </w:p>
    <w:p w14:paraId="5564EF10" w14:textId="77777777" w:rsidR="00D65CBA" w:rsidRPr="009812B5"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For Methionine, IE reached its maximum of 80.75% at the concentration of 0.02%wt. The increased IE with increasing inhibitor concentrations indicates that more L-Methionine </w:t>
      </w:r>
      <w:r w:rsidRPr="009812B5">
        <w:rPr>
          <w:rFonts w:ascii="Times New Roman" w:hAnsi="Times New Roman" w:cs="Times New Roman"/>
          <w:sz w:val="24"/>
          <w:szCs w:val="24"/>
        </w:rPr>
        <w:lastRenderedPageBreak/>
        <w:t xml:space="preserve">molecules are adsorbed on the steel surface at higher concentrations, leading to greater surface coverage and hence the formation of a protective film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{"citationID":"NfM12ELu","properties":{"formattedCitation":"(Mobin et al., 2017)","plainCitation":"(Mobin et al., 2017)","noteIndex":0},"citationItems":[{"id":2,"uris":["http://zotero.org/users/13853408/items/KY47EFZE"],"itemData":{"id":2,"type":"article-journal","abstract":"The corrosion inhibition behavior of amino acid L-methionine (LMT) separately and in combination with very low concentration of surfactants sodium dodecyl sulfate (SDS) and cetyltrimethyl ammonium bromide (CTAB) on mild steel in 0.1 M H2SO4 solution was studied, using weight loss and potentiodynamic polarization measurement techniques. The studies were carried out in the temperature range of 30–60 °C. The surface morphology of the corroded steel samples was studied by scanning electron microscopy (SEM) and atomic force microscopy (AFM).The results show that LMT is an effective inhibitor for mild steel corrosion in 0.1 M H2SO4 which is synergistically improved in the presence of SDS and CTAB. The mixed LMT and CTAB is more effective as an inhibitor than mixture of LMT and SDS. The SEM and AFM photographs show a clearly different surface morphology in the presence of additives. LMT alone and in combination with surfactants obeys Langmuir adsorption isotherm from the ﬁt of the experimental data of all concentrations and temperatures studied. Phenomenon of physical adsorption is proposed from the trend of the IE with temperature and also the values of activation energy (Ea), standard enthalpy of adsorption (DHads), and standard free energy of adsorption (DGads) obtained. The results obtained by potentiodynamic polarization measurements are consistent with the results of the weight loss measurements. LMT acts as a mixed type inhibitor.","container-title":"Arabian Journal of Chemistry","DOI":"10.1016/j.arabjc.2013.04.006","ISSN":"18785352","journalAbbreviation":"Arabian Journal of Chemistry","language":"en","page":"S1364-S1372","source":"DOI.org (Crossref)","title":"Synergistic effect of sodium dodecyl sulfate and cetyltrimethyl ammonium bromide on the corrosion inhibition behavior of l -methionine on mild steel in acidic medium","volume":"10","author":[{"family":"Mobin","given":"M."},{"family":"Parveen","given":"Mosarrat"},{"family":"Rafiquee","given":"M.Z.A."}],"issued":{"date-parts":[["2017",2]]}}}],"schema":"https://github.com/citation-style-language/schema/raw/master/csl-citation.json"}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(Mobin et al., 2017)</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Arginine has shown similar behavior with Methionine in terms of concentration-based increase in IE, and the maximum IE of 80.21% was obtained at the concentration of 0.02%wt.</w:t>
      </w:r>
    </w:p>
    <w:p w14:paraId="1C341A12" w14:textId="77777777" w:rsidR="00D65CBA"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On the other hand, Glutamic Acid had a higher value for the corrosion rate than that of the control sample for its all-concentration level. Therefore, the negative values of IE showed that the presence of Glutamic Acid could not inhibit the corrosion of mild steel in 0.5 M HCl solution. On the contrary, Glutamic Acid could accelerate the corrosion. However, the value of IE has increased with increasing concentration. This indicates that as the concentration of inhibitor is increased the covered steel surface by inhibitor molecules increases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{"citationID":"AfYGgRax","properties":{"formattedCitation":"(Ashassi-Sorkhabi et al., 2004)","plainCitation":"(Ashassi-Sorkhabi et al., 2004)","noteIndex":0},"citationItems":[{"id":14,"uris":["http://zotero.org/users/13853408/items/6PWPR6ME"],"itemData":{"id":14,"type":"article-journal","abstract":"The inhibition effect of three amino acids against steel corrosion in HCl solutions has been investigated by potentiodynamic polarization method. Corrosion data such as corrosion rate, corrosion potential (Ecorr) and corrosion resistance (Rp) were determined by extrapolation of the cathodic and anodic Tafel region. Adsorption isotherm was investigated by weight-loss measurement. The used amino acids were alanine, glycine and leucine. The effect of inhibitor concentration and acid concentration against inhibitor action was investigated. The inhibition efﬁciency (IE) depended on the type of amino acid and its concentration. The inhibition effect ranged from 28 to 91%. The amino acids act as a corrosion inhibitor in HCl solution through adsorption on the steel surface and adsorption follows Langmuir isotherm.","container-title":"Applied Surface Science","DOI":"10.1016/j.apsusc.2003.10.007","ISSN":"01694332","issue":"1-4","journalAbbreviation":"Applied Surface Science","language":"en","page":"176-185","source":"DOI.org (Crossref)","title":"Investigation of inhibition effect of some amino acids against steel corrosion in HCl solution","volume":"225","author":[{"family":"Ashassi-Sorkhabi","given":"H"},{"family":"Majidi","given":"M.R"},{"family":"Seyyedi","given":"K"}],"issued":{"date-parts":[["2004",3]]}}}],"schema":"https://github.com/citation-style-language/schema/raw/master/csl-citation.json"}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(Ashassi-Sorkhabi et al., 2004)</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xml:space="preserve">. </w:t>
      </w:r>
    </w:p>
    <w:p w14:paraId="15D8F58A" w14:textId="77777777" w:rsidR="00D65CBA"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The corrosion rate value decreased with increasing concentration of Threonine. In terms of IE, Threonine showed mitigation of corrosion for mild steel in 0.5 M HCl for the highest concentration (0.02%wt). The photos taken before and after the immersion of the Threonine test samples were provided in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REF _Ref161952284 \h  \* MERGEFORMAT </w:instrText>
      </w:r>
      <w:r w:rsidRPr="009812B5">
        <w:rPr>
          <w:rFonts w:ascii="Times New Roman" w:hAnsi="Times New Roman" w:cs="Times New Roman"/>
          <w:sz w:val="24"/>
          <w:szCs w:val="24"/>
        </w:rPr>
      </w:r>
      <w:r w:rsidRPr="009812B5">
        <w:rPr>
          <w:rFonts w:ascii="Times New Roman" w:hAnsi="Times New Roman" w:cs="Times New Roman"/>
          <w:sz w:val="24"/>
          <w:szCs w:val="24"/>
        </w:rPr>
        <w:fldChar w:fldCharType="separate"/>
      </w:r>
      <w:r w:rsidRPr="001247F9">
        <w:rPr>
          <w:rFonts w:ascii="Times New Roman" w:hAnsi="Times New Roman" w:cs="Times New Roman"/>
          <w:sz w:val="24"/>
          <w:szCs w:val="24"/>
        </w:rPr>
        <w:t xml:space="preserve">Figure </w:t>
      </w:r>
      <w:r w:rsidRPr="001247F9">
        <w:rPr>
          <w:rFonts w:ascii="Times New Roman" w:hAnsi="Times New Roman" w:cs="Times New Roman"/>
          <w:noProof/>
          <w:sz w:val="24"/>
          <w:szCs w:val="24"/>
        </w:rPr>
        <w:t>2</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w:t>
      </w:r>
    </w:p>
    <w:p w14:paraId="3F50702C" w14:textId="77777777" w:rsidR="00D65CBA" w:rsidRDefault="00D65CBA" w:rsidP="00D65CBA">
      <w:pPr>
        <w:spacing w:before="120" w:after="120" w:line="276" w:lineRule="auto"/>
        <w:rPr>
          <w:rFonts w:ascii="Times New Roman" w:hAnsi="Times New Roman" w:cs="Times New Roman"/>
          <w:sz w:val="24"/>
          <w:szCs w:val="24"/>
        </w:rPr>
      </w:pPr>
    </w:p>
    <w:p w14:paraId="4B51BD59" w14:textId="77777777" w:rsidR="00D65CBA" w:rsidRPr="009812B5" w:rsidRDefault="00D65CBA" w:rsidP="00D65CBA">
      <w:pPr>
        <w:spacing w:before="120" w:after="0" w:line="276" w:lineRule="auto"/>
        <w:rPr>
          <w:rFonts w:ascii="Times New Roman" w:hAnsi="Times New Roman" w:cs="Times New Roman"/>
          <w:sz w:val="24"/>
          <w:szCs w:val="24"/>
        </w:rPr>
      </w:pPr>
      <w:bookmarkStart w:id="1" w:name="_Ref161952174"/>
      <w:r w:rsidRPr="00C04AA2">
        <w:rPr>
          <w:rFonts w:ascii="Times New Roman" w:hAnsi="Times New Roman" w:cs="Times New Roman"/>
          <w:b/>
          <w:bCs/>
          <w:sz w:val="24"/>
          <w:szCs w:val="24"/>
        </w:rPr>
        <w:t xml:space="preserve">Table </w:t>
      </w:r>
      <w:r w:rsidRPr="00C04AA2">
        <w:rPr>
          <w:rFonts w:ascii="Times New Roman" w:hAnsi="Times New Roman" w:cs="Times New Roman"/>
          <w:b/>
          <w:bCs/>
          <w:sz w:val="24"/>
          <w:szCs w:val="24"/>
        </w:rPr>
        <w:fldChar w:fldCharType="begin"/>
      </w:r>
      <w:r w:rsidRPr="00C04AA2">
        <w:rPr>
          <w:rFonts w:ascii="Times New Roman" w:hAnsi="Times New Roman" w:cs="Times New Roman"/>
          <w:b/>
          <w:bCs/>
          <w:sz w:val="24"/>
          <w:szCs w:val="24"/>
        </w:rPr>
        <w:instrText xml:space="preserve"> SEQ Table \* ARABIC </w:instrText>
      </w:r>
      <w:r w:rsidRPr="00C04AA2">
        <w:rPr>
          <w:rFonts w:ascii="Times New Roman" w:hAnsi="Times New Roman" w:cs="Times New Roman"/>
          <w:b/>
          <w:bCs/>
          <w:sz w:val="24"/>
          <w:szCs w:val="24"/>
        </w:rPr>
        <w:fldChar w:fldCharType="separate"/>
      </w:r>
      <w:r>
        <w:rPr>
          <w:rFonts w:ascii="Times New Roman" w:hAnsi="Times New Roman" w:cs="Times New Roman"/>
          <w:b/>
          <w:bCs/>
          <w:noProof/>
          <w:sz w:val="24"/>
          <w:szCs w:val="24"/>
        </w:rPr>
        <w:t>1</w:t>
      </w:r>
      <w:r w:rsidRPr="00C04AA2">
        <w:rPr>
          <w:rFonts w:ascii="Times New Roman" w:hAnsi="Times New Roman" w:cs="Times New Roman"/>
          <w:b/>
          <w:bCs/>
          <w:sz w:val="24"/>
          <w:szCs w:val="24"/>
        </w:rPr>
        <w:fldChar w:fldCharType="end"/>
      </w:r>
      <w:bookmarkEnd w:id="1"/>
      <w:r w:rsidRPr="00C04AA2">
        <w:rPr>
          <w:rFonts w:ascii="Times New Roman" w:hAnsi="Times New Roman" w:cs="Times New Roman"/>
          <w:b/>
          <w:bCs/>
          <w:sz w:val="24"/>
          <w:szCs w:val="24"/>
        </w:rPr>
        <w:t>:</w:t>
      </w:r>
      <w:r w:rsidRPr="009812B5">
        <w:rPr>
          <w:rFonts w:ascii="Times New Roman" w:hAnsi="Times New Roman" w:cs="Times New Roman"/>
          <w:sz w:val="24"/>
          <w:szCs w:val="24"/>
        </w:rPr>
        <w:t xml:space="preserve"> The weight loss parameters obtained for mild steel in 0.5M HCl solution without and with various concentrations of amino acids.</w:t>
      </w:r>
    </w:p>
    <w:tbl>
      <w:tblPr>
        <w:tblStyle w:val="TableGrid"/>
        <w:tblW w:w="933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2333"/>
        <w:gridCol w:w="2333"/>
        <w:gridCol w:w="2333"/>
      </w:tblGrid>
      <w:tr w:rsidR="00D65CBA" w:rsidRPr="009812B5" w14:paraId="7F57B94E" w14:textId="77777777" w:rsidTr="00AD679A">
        <w:trPr>
          <w:trHeight w:val="20"/>
        </w:trPr>
        <w:tc>
          <w:tcPr>
            <w:tcW w:w="2333" w:type="dxa"/>
            <w:tcBorders>
              <w:top w:val="single" w:sz="4" w:space="0" w:color="auto"/>
              <w:bottom w:val="single" w:sz="4" w:space="0" w:color="auto"/>
            </w:tcBorders>
            <w:vAlign w:val="center"/>
          </w:tcPr>
          <w:p w14:paraId="19D9D9EC"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Amino Acid</w:t>
            </w:r>
          </w:p>
        </w:tc>
        <w:tc>
          <w:tcPr>
            <w:tcW w:w="2333" w:type="dxa"/>
            <w:tcBorders>
              <w:top w:val="single" w:sz="4" w:space="0" w:color="auto"/>
              <w:bottom w:val="single" w:sz="4" w:space="0" w:color="auto"/>
            </w:tcBorders>
            <w:vAlign w:val="center"/>
          </w:tcPr>
          <w:p w14:paraId="5589FD5D"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Concentration (%wt)</w:t>
            </w:r>
          </w:p>
        </w:tc>
        <w:tc>
          <w:tcPr>
            <w:tcW w:w="2333" w:type="dxa"/>
            <w:tcBorders>
              <w:top w:val="single" w:sz="4" w:space="0" w:color="auto"/>
              <w:bottom w:val="single" w:sz="4" w:space="0" w:color="auto"/>
            </w:tcBorders>
            <w:vAlign w:val="center"/>
          </w:tcPr>
          <w:p w14:paraId="29C9AF54"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Corrosion Rate (mm/year)</w:t>
            </w:r>
          </w:p>
        </w:tc>
        <w:tc>
          <w:tcPr>
            <w:tcW w:w="2333" w:type="dxa"/>
            <w:tcBorders>
              <w:top w:val="single" w:sz="4" w:space="0" w:color="auto"/>
              <w:bottom w:val="single" w:sz="4" w:space="0" w:color="auto"/>
            </w:tcBorders>
            <w:vAlign w:val="center"/>
          </w:tcPr>
          <w:p w14:paraId="3957FB7D"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Inhibition Efficiency (%)</w:t>
            </w:r>
          </w:p>
        </w:tc>
      </w:tr>
      <w:tr w:rsidR="00D65CBA" w:rsidRPr="009812B5" w14:paraId="0EE97BEB" w14:textId="77777777" w:rsidTr="00AD679A">
        <w:trPr>
          <w:trHeight w:val="20"/>
        </w:trPr>
        <w:tc>
          <w:tcPr>
            <w:tcW w:w="2333" w:type="dxa"/>
            <w:tcBorders>
              <w:top w:val="single" w:sz="4" w:space="0" w:color="auto"/>
              <w:bottom w:val="single" w:sz="4" w:space="0" w:color="auto"/>
            </w:tcBorders>
            <w:vAlign w:val="center"/>
          </w:tcPr>
          <w:p w14:paraId="636CEFCD" w14:textId="77777777" w:rsidR="00D65CBA" w:rsidRPr="009812B5" w:rsidRDefault="00D65CBA" w:rsidP="00AD679A">
            <w:pPr>
              <w:spacing w:before="120" w:after="120"/>
              <w:jc w:val="center"/>
              <w:rPr>
                <w:rFonts w:ascii="Times New Roman" w:hAnsi="Times New Roman" w:cs="Times New Roman"/>
                <w:sz w:val="24"/>
                <w:szCs w:val="24"/>
                <w:vertAlign w:val="superscript"/>
              </w:rPr>
            </w:pPr>
            <w:r w:rsidRPr="009812B5">
              <w:rPr>
                <w:rFonts w:ascii="Times New Roman" w:hAnsi="Times New Roman" w:cs="Times New Roman"/>
                <w:sz w:val="24"/>
                <w:szCs w:val="24"/>
              </w:rPr>
              <w:t>Control</w:t>
            </w:r>
            <w:r w:rsidRPr="009812B5">
              <w:rPr>
                <w:rFonts w:ascii="Times New Roman" w:hAnsi="Times New Roman" w:cs="Times New Roman"/>
                <w:sz w:val="24"/>
                <w:szCs w:val="24"/>
                <w:vertAlign w:val="superscript"/>
              </w:rPr>
              <w:t>1</w:t>
            </w:r>
          </w:p>
        </w:tc>
        <w:tc>
          <w:tcPr>
            <w:tcW w:w="2333" w:type="dxa"/>
            <w:tcBorders>
              <w:top w:val="single" w:sz="4" w:space="0" w:color="auto"/>
              <w:bottom w:val="single" w:sz="4" w:space="0" w:color="auto"/>
            </w:tcBorders>
            <w:vAlign w:val="center"/>
          </w:tcPr>
          <w:p w14:paraId="65387F16"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w:t>
            </w:r>
          </w:p>
        </w:tc>
        <w:tc>
          <w:tcPr>
            <w:tcW w:w="2333" w:type="dxa"/>
            <w:tcBorders>
              <w:top w:val="single" w:sz="4" w:space="0" w:color="auto"/>
              <w:bottom w:val="single" w:sz="4" w:space="0" w:color="auto"/>
            </w:tcBorders>
            <w:vAlign w:val="center"/>
          </w:tcPr>
          <w:p w14:paraId="4370533F"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10.91</w:t>
            </w:r>
          </w:p>
        </w:tc>
        <w:tc>
          <w:tcPr>
            <w:tcW w:w="2333" w:type="dxa"/>
            <w:tcBorders>
              <w:top w:val="single" w:sz="4" w:space="0" w:color="auto"/>
              <w:bottom w:val="single" w:sz="4" w:space="0" w:color="auto"/>
            </w:tcBorders>
            <w:vAlign w:val="center"/>
          </w:tcPr>
          <w:p w14:paraId="47367313"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w:t>
            </w:r>
          </w:p>
        </w:tc>
      </w:tr>
      <w:tr w:rsidR="00D65CBA" w:rsidRPr="009812B5" w14:paraId="51A5A60F" w14:textId="77777777" w:rsidTr="00AD679A">
        <w:trPr>
          <w:trHeight w:val="20"/>
        </w:trPr>
        <w:tc>
          <w:tcPr>
            <w:tcW w:w="2333" w:type="dxa"/>
            <w:vMerge w:val="restart"/>
            <w:tcBorders>
              <w:top w:val="single" w:sz="4" w:space="0" w:color="auto"/>
            </w:tcBorders>
            <w:vAlign w:val="center"/>
          </w:tcPr>
          <w:p w14:paraId="2E439BF2"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L-Methionine</w:t>
            </w:r>
          </w:p>
        </w:tc>
        <w:tc>
          <w:tcPr>
            <w:tcW w:w="2333" w:type="dxa"/>
            <w:tcBorders>
              <w:top w:val="single" w:sz="4" w:space="0" w:color="auto"/>
            </w:tcBorders>
            <w:vAlign w:val="center"/>
          </w:tcPr>
          <w:p w14:paraId="72C267E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0.002</w:t>
            </w:r>
          </w:p>
        </w:tc>
        <w:tc>
          <w:tcPr>
            <w:tcW w:w="2333" w:type="dxa"/>
            <w:tcBorders>
              <w:top w:val="single" w:sz="4" w:space="0" w:color="auto"/>
            </w:tcBorders>
            <w:vAlign w:val="center"/>
          </w:tcPr>
          <w:p w14:paraId="2718223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9.96</w:t>
            </w:r>
          </w:p>
        </w:tc>
        <w:tc>
          <w:tcPr>
            <w:tcW w:w="2333" w:type="dxa"/>
            <w:tcBorders>
              <w:top w:val="single" w:sz="4" w:space="0" w:color="auto"/>
            </w:tcBorders>
            <w:vAlign w:val="center"/>
          </w:tcPr>
          <w:p w14:paraId="63E48A97"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8.73</w:t>
            </w:r>
          </w:p>
        </w:tc>
      </w:tr>
      <w:tr w:rsidR="00D65CBA" w:rsidRPr="009812B5" w14:paraId="1FAE490C" w14:textId="77777777" w:rsidTr="00AD679A">
        <w:trPr>
          <w:trHeight w:val="20"/>
        </w:trPr>
        <w:tc>
          <w:tcPr>
            <w:tcW w:w="2333" w:type="dxa"/>
            <w:vMerge/>
            <w:vAlign w:val="center"/>
          </w:tcPr>
          <w:p w14:paraId="5AE07A2B" w14:textId="77777777" w:rsidR="00D65CBA" w:rsidRPr="009812B5" w:rsidRDefault="00D65CBA" w:rsidP="00AD679A">
            <w:pPr>
              <w:spacing w:before="120" w:after="120"/>
              <w:jc w:val="center"/>
              <w:rPr>
                <w:rFonts w:ascii="Times New Roman" w:hAnsi="Times New Roman" w:cs="Times New Roman"/>
                <w:sz w:val="24"/>
                <w:szCs w:val="24"/>
              </w:rPr>
            </w:pPr>
          </w:p>
        </w:tc>
        <w:tc>
          <w:tcPr>
            <w:tcW w:w="2333" w:type="dxa"/>
            <w:vAlign w:val="center"/>
          </w:tcPr>
          <w:p w14:paraId="70BBB2F6"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0.008</w:t>
            </w:r>
          </w:p>
        </w:tc>
        <w:tc>
          <w:tcPr>
            <w:tcW w:w="2333" w:type="dxa"/>
            <w:vAlign w:val="center"/>
          </w:tcPr>
          <w:p w14:paraId="6BCD846C"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2.13</w:t>
            </w:r>
          </w:p>
        </w:tc>
        <w:tc>
          <w:tcPr>
            <w:tcW w:w="2333" w:type="dxa"/>
            <w:vAlign w:val="center"/>
          </w:tcPr>
          <w:p w14:paraId="465E0338"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80.48</w:t>
            </w:r>
          </w:p>
        </w:tc>
      </w:tr>
      <w:tr w:rsidR="00D65CBA" w:rsidRPr="009812B5" w14:paraId="2AD168B7" w14:textId="77777777" w:rsidTr="00AD679A">
        <w:trPr>
          <w:trHeight w:val="20"/>
        </w:trPr>
        <w:tc>
          <w:tcPr>
            <w:tcW w:w="2333" w:type="dxa"/>
            <w:vMerge/>
            <w:tcBorders>
              <w:bottom w:val="single" w:sz="4" w:space="0" w:color="auto"/>
            </w:tcBorders>
            <w:vAlign w:val="center"/>
          </w:tcPr>
          <w:p w14:paraId="7C3512B2" w14:textId="77777777" w:rsidR="00D65CBA" w:rsidRPr="009812B5" w:rsidRDefault="00D65CBA" w:rsidP="00AD679A">
            <w:pPr>
              <w:spacing w:before="120" w:after="120"/>
              <w:jc w:val="center"/>
              <w:rPr>
                <w:rFonts w:ascii="Times New Roman" w:hAnsi="Times New Roman" w:cs="Times New Roman"/>
                <w:sz w:val="24"/>
                <w:szCs w:val="24"/>
              </w:rPr>
            </w:pPr>
          </w:p>
        </w:tc>
        <w:tc>
          <w:tcPr>
            <w:tcW w:w="2333" w:type="dxa"/>
            <w:tcBorders>
              <w:bottom w:val="single" w:sz="4" w:space="0" w:color="auto"/>
            </w:tcBorders>
            <w:vAlign w:val="center"/>
          </w:tcPr>
          <w:p w14:paraId="1B1B1F7E"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0.02</w:t>
            </w:r>
          </w:p>
        </w:tc>
        <w:tc>
          <w:tcPr>
            <w:tcW w:w="2333" w:type="dxa"/>
            <w:tcBorders>
              <w:bottom w:val="single" w:sz="4" w:space="0" w:color="auto"/>
            </w:tcBorders>
            <w:vAlign w:val="center"/>
          </w:tcPr>
          <w:p w14:paraId="7A93DCBE"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2.10</w:t>
            </w:r>
          </w:p>
        </w:tc>
        <w:tc>
          <w:tcPr>
            <w:tcW w:w="2333" w:type="dxa"/>
            <w:tcBorders>
              <w:bottom w:val="single" w:sz="4" w:space="0" w:color="auto"/>
            </w:tcBorders>
            <w:vAlign w:val="center"/>
          </w:tcPr>
          <w:p w14:paraId="1588592A"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80.75</w:t>
            </w:r>
          </w:p>
        </w:tc>
      </w:tr>
      <w:tr w:rsidR="00D65CBA" w:rsidRPr="009812B5" w14:paraId="1045B7DC" w14:textId="77777777" w:rsidTr="00AD679A">
        <w:trPr>
          <w:trHeight w:val="20"/>
        </w:trPr>
        <w:tc>
          <w:tcPr>
            <w:tcW w:w="2333" w:type="dxa"/>
            <w:vMerge w:val="restart"/>
            <w:tcBorders>
              <w:top w:val="single" w:sz="4" w:space="0" w:color="auto"/>
            </w:tcBorders>
            <w:vAlign w:val="center"/>
          </w:tcPr>
          <w:p w14:paraId="3EAB00C2"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L-Arginine</w:t>
            </w:r>
          </w:p>
        </w:tc>
        <w:tc>
          <w:tcPr>
            <w:tcW w:w="2333" w:type="dxa"/>
            <w:tcBorders>
              <w:top w:val="single" w:sz="4" w:space="0" w:color="auto"/>
            </w:tcBorders>
            <w:vAlign w:val="center"/>
          </w:tcPr>
          <w:p w14:paraId="4148E8DE"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0.002</w:t>
            </w:r>
          </w:p>
        </w:tc>
        <w:tc>
          <w:tcPr>
            <w:tcW w:w="2333" w:type="dxa"/>
            <w:tcBorders>
              <w:top w:val="single" w:sz="4" w:space="0" w:color="auto"/>
            </w:tcBorders>
            <w:vAlign w:val="center"/>
          </w:tcPr>
          <w:p w14:paraId="251A770C"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10.78</w:t>
            </w:r>
          </w:p>
        </w:tc>
        <w:tc>
          <w:tcPr>
            <w:tcW w:w="2333" w:type="dxa"/>
            <w:tcBorders>
              <w:top w:val="single" w:sz="4" w:space="0" w:color="auto"/>
            </w:tcBorders>
            <w:vAlign w:val="center"/>
          </w:tcPr>
          <w:p w14:paraId="0355DE8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1.12</w:t>
            </w:r>
          </w:p>
        </w:tc>
      </w:tr>
      <w:tr w:rsidR="00D65CBA" w:rsidRPr="009812B5" w14:paraId="1AC370AB" w14:textId="77777777" w:rsidTr="00AD679A">
        <w:trPr>
          <w:trHeight w:val="20"/>
        </w:trPr>
        <w:tc>
          <w:tcPr>
            <w:tcW w:w="2333" w:type="dxa"/>
            <w:vMerge/>
            <w:vAlign w:val="center"/>
          </w:tcPr>
          <w:p w14:paraId="5DAB20DA" w14:textId="77777777" w:rsidR="00D65CBA" w:rsidRPr="009812B5" w:rsidRDefault="00D65CBA" w:rsidP="00AD679A">
            <w:pPr>
              <w:spacing w:before="120" w:after="120"/>
              <w:jc w:val="center"/>
              <w:rPr>
                <w:rFonts w:ascii="Times New Roman" w:hAnsi="Times New Roman" w:cs="Times New Roman"/>
                <w:sz w:val="24"/>
                <w:szCs w:val="24"/>
              </w:rPr>
            </w:pPr>
          </w:p>
        </w:tc>
        <w:tc>
          <w:tcPr>
            <w:tcW w:w="2333" w:type="dxa"/>
            <w:vAlign w:val="center"/>
          </w:tcPr>
          <w:p w14:paraId="0918324D"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0.008</w:t>
            </w:r>
          </w:p>
        </w:tc>
        <w:tc>
          <w:tcPr>
            <w:tcW w:w="2333" w:type="dxa"/>
            <w:vAlign w:val="center"/>
          </w:tcPr>
          <w:p w14:paraId="004E650E"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2.19</w:t>
            </w:r>
          </w:p>
        </w:tc>
        <w:tc>
          <w:tcPr>
            <w:tcW w:w="2333" w:type="dxa"/>
            <w:vAlign w:val="center"/>
          </w:tcPr>
          <w:p w14:paraId="5A877C96"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79.88</w:t>
            </w:r>
          </w:p>
        </w:tc>
      </w:tr>
      <w:tr w:rsidR="00D65CBA" w:rsidRPr="009812B5" w14:paraId="4D771026" w14:textId="77777777" w:rsidTr="00AD679A">
        <w:trPr>
          <w:trHeight w:val="20"/>
        </w:trPr>
        <w:tc>
          <w:tcPr>
            <w:tcW w:w="2333" w:type="dxa"/>
            <w:vMerge/>
            <w:tcBorders>
              <w:bottom w:val="single" w:sz="4" w:space="0" w:color="auto"/>
            </w:tcBorders>
            <w:vAlign w:val="center"/>
          </w:tcPr>
          <w:p w14:paraId="56C620BE" w14:textId="77777777" w:rsidR="00D65CBA" w:rsidRPr="009812B5" w:rsidRDefault="00D65CBA" w:rsidP="00AD679A">
            <w:pPr>
              <w:spacing w:before="120" w:after="120"/>
              <w:jc w:val="center"/>
              <w:rPr>
                <w:rFonts w:ascii="Times New Roman" w:hAnsi="Times New Roman" w:cs="Times New Roman"/>
                <w:sz w:val="24"/>
                <w:szCs w:val="24"/>
              </w:rPr>
            </w:pPr>
          </w:p>
        </w:tc>
        <w:tc>
          <w:tcPr>
            <w:tcW w:w="2333" w:type="dxa"/>
            <w:tcBorders>
              <w:bottom w:val="single" w:sz="4" w:space="0" w:color="auto"/>
            </w:tcBorders>
            <w:vAlign w:val="center"/>
          </w:tcPr>
          <w:p w14:paraId="09E303F3"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0.02</w:t>
            </w:r>
          </w:p>
        </w:tc>
        <w:tc>
          <w:tcPr>
            <w:tcW w:w="2333" w:type="dxa"/>
            <w:tcBorders>
              <w:bottom w:val="single" w:sz="4" w:space="0" w:color="auto"/>
            </w:tcBorders>
            <w:vAlign w:val="center"/>
          </w:tcPr>
          <w:p w14:paraId="651B3C78"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2.16</w:t>
            </w:r>
          </w:p>
        </w:tc>
        <w:tc>
          <w:tcPr>
            <w:tcW w:w="2333" w:type="dxa"/>
            <w:tcBorders>
              <w:bottom w:val="single" w:sz="4" w:space="0" w:color="auto"/>
            </w:tcBorders>
            <w:vAlign w:val="center"/>
          </w:tcPr>
          <w:p w14:paraId="60EBB476"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80.21</w:t>
            </w:r>
          </w:p>
        </w:tc>
      </w:tr>
      <w:tr w:rsidR="00D65CBA" w:rsidRPr="009812B5" w14:paraId="63CE773F" w14:textId="77777777" w:rsidTr="00AD679A">
        <w:trPr>
          <w:trHeight w:val="20"/>
        </w:trPr>
        <w:tc>
          <w:tcPr>
            <w:tcW w:w="2333" w:type="dxa"/>
            <w:tcBorders>
              <w:top w:val="single" w:sz="4" w:space="0" w:color="auto"/>
              <w:bottom w:val="single" w:sz="4" w:space="0" w:color="auto"/>
            </w:tcBorders>
            <w:vAlign w:val="center"/>
          </w:tcPr>
          <w:p w14:paraId="6BB35041" w14:textId="77777777" w:rsidR="00D65CBA" w:rsidRPr="009812B5" w:rsidRDefault="00D65CBA" w:rsidP="00AD679A">
            <w:pPr>
              <w:spacing w:before="120" w:after="120"/>
              <w:jc w:val="center"/>
              <w:rPr>
                <w:rFonts w:ascii="Times New Roman" w:hAnsi="Times New Roman" w:cs="Times New Roman"/>
                <w:sz w:val="24"/>
                <w:szCs w:val="24"/>
                <w:vertAlign w:val="superscript"/>
              </w:rPr>
            </w:pPr>
            <w:r w:rsidRPr="009812B5">
              <w:rPr>
                <w:rFonts w:ascii="Times New Roman" w:hAnsi="Times New Roman" w:cs="Times New Roman"/>
                <w:sz w:val="24"/>
                <w:szCs w:val="24"/>
              </w:rPr>
              <w:t>Control</w:t>
            </w:r>
            <w:r w:rsidRPr="009812B5">
              <w:rPr>
                <w:rFonts w:ascii="Times New Roman" w:hAnsi="Times New Roman" w:cs="Times New Roman"/>
                <w:sz w:val="24"/>
                <w:szCs w:val="24"/>
                <w:vertAlign w:val="superscript"/>
              </w:rPr>
              <w:t>2</w:t>
            </w:r>
          </w:p>
        </w:tc>
        <w:tc>
          <w:tcPr>
            <w:tcW w:w="2333" w:type="dxa"/>
            <w:tcBorders>
              <w:top w:val="single" w:sz="4" w:space="0" w:color="auto"/>
              <w:bottom w:val="single" w:sz="4" w:space="0" w:color="auto"/>
            </w:tcBorders>
            <w:vAlign w:val="center"/>
          </w:tcPr>
          <w:p w14:paraId="591AAE45"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w:t>
            </w:r>
          </w:p>
        </w:tc>
        <w:tc>
          <w:tcPr>
            <w:tcW w:w="2333" w:type="dxa"/>
            <w:tcBorders>
              <w:top w:val="single" w:sz="4" w:space="0" w:color="auto"/>
              <w:bottom w:val="single" w:sz="4" w:space="0" w:color="auto"/>
            </w:tcBorders>
            <w:vAlign w:val="center"/>
          </w:tcPr>
          <w:p w14:paraId="6F9C733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9.33</w:t>
            </w:r>
          </w:p>
        </w:tc>
        <w:tc>
          <w:tcPr>
            <w:tcW w:w="2333" w:type="dxa"/>
            <w:tcBorders>
              <w:top w:val="single" w:sz="4" w:space="0" w:color="auto"/>
              <w:bottom w:val="single" w:sz="4" w:space="0" w:color="auto"/>
            </w:tcBorders>
            <w:vAlign w:val="center"/>
          </w:tcPr>
          <w:p w14:paraId="5FFC0EBE"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w:t>
            </w:r>
          </w:p>
        </w:tc>
      </w:tr>
      <w:tr w:rsidR="00D65CBA" w:rsidRPr="009812B5" w14:paraId="0BCFFBF0" w14:textId="77777777" w:rsidTr="00AD679A">
        <w:trPr>
          <w:trHeight w:val="20"/>
        </w:trPr>
        <w:tc>
          <w:tcPr>
            <w:tcW w:w="2333" w:type="dxa"/>
            <w:vMerge w:val="restart"/>
            <w:tcBorders>
              <w:top w:val="single" w:sz="4" w:space="0" w:color="auto"/>
            </w:tcBorders>
            <w:vAlign w:val="center"/>
          </w:tcPr>
          <w:p w14:paraId="02C19F2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L-Glutamic Acid</w:t>
            </w:r>
          </w:p>
        </w:tc>
        <w:tc>
          <w:tcPr>
            <w:tcW w:w="2333" w:type="dxa"/>
            <w:tcBorders>
              <w:top w:val="single" w:sz="4" w:space="0" w:color="auto"/>
            </w:tcBorders>
            <w:vAlign w:val="center"/>
          </w:tcPr>
          <w:p w14:paraId="59027666"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0.002</w:t>
            </w:r>
          </w:p>
        </w:tc>
        <w:tc>
          <w:tcPr>
            <w:tcW w:w="2333" w:type="dxa"/>
            <w:tcBorders>
              <w:top w:val="single" w:sz="4" w:space="0" w:color="auto"/>
            </w:tcBorders>
            <w:vAlign w:val="center"/>
          </w:tcPr>
          <w:p w14:paraId="4E8516D9"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10.21</w:t>
            </w:r>
          </w:p>
        </w:tc>
        <w:tc>
          <w:tcPr>
            <w:tcW w:w="2333" w:type="dxa"/>
            <w:tcBorders>
              <w:top w:val="single" w:sz="4" w:space="0" w:color="auto"/>
            </w:tcBorders>
            <w:vAlign w:val="center"/>
          </w:tcPr>
          <w:p w14:paraId="62CA73F9"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-9.44</w:t>
            </w:r>
          </w:p>
        </w:tc>
      </w:tr>
      <w:tr w:rsidR="00D65CBA" w:rsidRPr="009812B5" w14:paraId="78734513" w14:textId="77777777" w:rsidTr="00AD679A">
        <w:trPr>
          <w:trHeight w:val="20"/>
        </w:trPr>
        <w:tc>
          <w:tcPr>
            <w:tcW w:w="2333" w:type="dxa"/>
            <w:vMerge/>
            <w:vAlign w:val="center"/>
          </w:tcPr>
          <w:p w14:paraId="4500EFEB" w14:textId="77777777" w:rsidR="00D65CBA" w:rsidRPr="009812B5" w:rsidRDefault="00D65CBA" w:rsidP="00AD679A">
            <w:pPr>
              <w:spacing w:before="120" w:after="120"/>
              <w:jc w:val="center"/>
              <w:rPr>
                <w:rFonts w:ascii="Times New Roman" w:hAnsi="Times New Roman" w:cs="Times New Roman"/>
                <w:sz w:val="24"/>
                <w:szCs w:val="24"/>
              </w:rPr>
            </w:pPr>
          </w:p>
        </w:tc>
        <w:tc>
          <w:tcPr>
            <w:tcW w:w="2333" w:type="dxa"/>
            <w:vAlign w:val="center"/>
          </w:tcPr>
          <w:p w14:paraId="5000DA05"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0.008</w:t>
            </w:r>
          </w:p>
        </w:tc>
        <w:tc>
          <w:tcPr>
            <w:tcW w:w="2333" w:type="dxa"/>
            <w:vAlign w:val="center"/>
          </w:tcPr>
          <w:p w14:paraId="4BB8CEE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9.82</w:t>
            </w:r>
          </w:p>
        </w:tc>
        <w:tc>
          <w:tcPr>
            <w:tcW w:w="2333" w:type="dxa"/>
            <w:vAlign w:val="center"/>
          </w:tcPr>
          <w:p w14:paraId="0BE55825"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-5.30</w:t>
            </w:r>
          </w:p>
        </w:tc>
      </w:tr>
      <w:tr w:rsidR="00D65CBA" w:rsidRPr="009812B5" w14:paraId="60295FD8" w14:textId="77777777" w:rsidTr="00AD679A">
        <w:trPr>
          <w:trHeight w:val="20"/>
        </w:trPr>
        <w:tc>
          <w:tcPr>
            <w:tcW w:w="2333" w:type="dxa"/>
            <w:vMerge/>
            <w:tcBorders>
              <w:bottom w:val="single" w:sz="4" w:space="0" w:color="auto"/>
            </w:tcBorders>
            <w:vAlign w:val="center"/>
          </w:tcPr>
          <w:p w14:paraId="792DEE99" w14:textId="77777777" w:rsidR="00D65CBA" w:rsidRPr="009812B5" w:rsidRDefault="00D65CBA" w:rsidP="00AD679A">
            <w:pPr>
              <w:spacing w:before="120" w:after="120"/>
              <w:jc w:val="center"/>
              <w:rPr>
                <w:rFonts w:ascii="Times New Roman" w:hAnsi="Times New Roman" w:cs="Times New Roman"/>
                <w:sz w:val="24"/>
                <w:szCs w:val="24"/>
              </w:rPr>
            </w:pPr>
          </w:p>
        </w:tc>
        <w:tc>
          <w:tcPr>
            <w:tcW w:w="2333" w:type="dxa"/>
            <w:tcBorders>
              <w:bottom w:val="single" w:sz="4" w:space="0" w:color="auto"/>
            </w:tcBorders>
            <w:vAlign w:val="center"/>
          </w:tcPr>
          <w:p w14:paraId="722757CB"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0.02</w:t>
            </w:r>
          </w:p>
        </w:tc>
        <w:tc>
          <w:tcPr>
            <w:tcW w:w="2333" w:type="dxa"/>
            <w:tcBorders>
              <w:bottom w:val="single" w:sz="4" w:space="0" w:color="auto"/>
            </w:tcBorders>
            <w:vAlign w:val="center"/>
          </w:tcPr>
          <w:p w14:paraId="6A5FFC75"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9.40</w:t>
            </w:r>
          </w:p>
        </w:tc>
        <w:tc>
          <w:tcPr>
            <w:tcW w:w="2333" w:type="dxa"/>
            <w:tcBorders>
              <w:bottom w:val="single" w:sz="4" w:space="0" w:color="auto"/>
            </w:tcBorders>
            <w:vAlign w:val="center"/>
          </w:tcPr>
          <w:p w14:paraId="7F64FC20"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-0.82</w:t>
            </w:r>
          </w:p>
        </w:tc>
      </w:tr>
      <w:tr w:rsidR="00D65CBA" w:rsidRPr="009812B5" w14:paraId="16399A00" w14:textId="77777777" w:rsidTr="00AD679A">
        <w:trPr>
          <w:trHeight w:val="20"/>
        </w:trPr>
        <w:tc>
          <w:tcPr>
            <w:tcW w:w="2333" w:type="dxa"/>
            <w:vMerge w:val="restart"/>
            <w:tcBorders>
              <w:top w:val="single" w:sz="4" w:space="0" w:color="auto"/>
            </w:tcBorders>
            <w:vAlign w:val="center"/>
          </w:tcPr>
          <w:p w14:paraId="2E4EC400"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lastRenderedPageBreak/>
              <w:t>L-Threonine</w:t>
            </w:r>
          </w:p>
        </w:tc>
        <w:tc>
          <w:tcPr>
            <w:tcW w:w="2333" w:type="dxa"/>
            <w:tcBorders>
              <w:top w:val="single" w:sz="4" w:space="0" w:color="auto"/>
            </w:tcBorders>
            <w:vAlign w:val="center"/>
          </w:tcPr>
          <w:p w14:paraId="1EC2085F"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0.002</w:t>
            </w:r>
          </w:p>
        </w:tc>
        <w:tc>
          <w:tcPr>
            <w:tcW w:w="2333" w:type="dxa"/>
            <w:tcBorders>
              <w:top w:val="single" w:sz="4" w:space="0" w:color="auto"/>
            </w:tcBorders>
            <w:vAlign w:val="center"/>
          </w:tcPr>
          <w:p w14:paraId="14C7EC39"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10.57</w:t>
            </w:r>
          </w:p>
        </w:tc>
        <w:tc>
          <w:tcPr>
            <w:tcW w:w="2333" w:type="dxa"/>
            <w:tcBorders>
              <w:top w:val="single" w:sz="4" w:space="0" w:color="auto"/>
            </w:tcBorders>
            <w:vAlign w:val="center"/>
          </w:tcPr>
          <w:p w14:paraId="54BDF3AA"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-13.30</w:t>
            </w:r>
          </w:p>
        </w:tc>
      </w:tr>
      <w:tr w:rsidR="00D65CBA" w:rsidRPr="009812B5" w14:paraId="68045965" w14:textId="77777777" w:rsidTr="00AD679A">
        <w:trPr>
          <w:trHeight w:val="20"/>
        </w:trPr>
        <w:tc>
          <w:tcPr>
            <w:tcW w:w="2333" w:type="dxa"/>
            <w:vMerge/>
            <w:vAlign w:val="center"/>
          </w:tcPr>
          <w:p w14:paraId="3AD5B24A" w14:textId="77777777" w:rsidR="00D65CBA" w:rsidRPr="009812B5" w:rsidRDefault="00D65CBA" w:rsidP="00AD679A">
            <w:pPr>
              <w:spacing w:before="120" w:after="120"/>
              <w:jc w:val="center"/>
              <w:rPr>
                <w:rFonts w:ascii="Times New Roman" w:hAnsi="Times New Roman" w:cs="Times New Roman"/>
                <w:sz w:val="24"/>
                <w:szCs w:val="24"/>
              </w:rPr>
            </w:pPr>
          </w:p>
        </w:tc>
        <w:tc>
          <w:tcPr>
            <w:tcW w:w="2333" w:type="dxa"/>
            <w:vAlign w:val="center"/>
          </w:tcPr>
          <w:p w14:paraId="332594E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0.008</w:t>
            </w:r>
          </w:p>
        </w:tc>
        <w:tc>
          <w:tcPr>
            <w:tcW w:w="2333" w:type="dxa"/>
            <w:vAlign w:val="center"/>
          </w:tcPr>
          <w:p w14:paraId="43CD46F7"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9.90</w:t>
            </w:r>
          </w:p>
        </w:tc>
        <w:tc>
          <w:tcPr>
            <w:tcW w:w="2333" w:type="dxa"/>
            <w:vAlign w:val="center"/>
          </w:tcPr>
          <w:p w14:paraId="352859A8"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-6.17</w:t>
            </w:r>
          </w:p>
        </w:tc>
      </w:tr>
      <w:tr w:rsidR="00D65CBA" w:rsidRPr="009812B5" w14:paraId="1840268B" w14:textId="77777777" w:rsidTr="00AD679A">
        <w:trPr>
          <w:trHeight w:val="20"/>
        </w:trPr>
        <w:tc>
          <w:tcPr>
            <w:tcW w:w="2333" w:type="dxa"/>
            <w:vMerge/>
            <w:tcBorders>
              <w:bottom w:val="single" w:sz="4" w:space="0" w:color="auto"/>
            </w:tcBorders>
            <w:vAlign w:val="center"/>
          </w:tcPr>
          <w:p w14:paraId="09E66FF4" w14:textId="77777777" w:rsidR="00D65CBA" w:rsidRPr="009812B5" w:rsidRDefault="00D65CBA" w:rsidP="00AD679A">
            <w:pPr>
              <w:spacing w:before="120" w:after="120"/>
              <w:jc w:val="center"/>
              <w:rPr>
                <w:rFonts w:ascii="Times New Roman" w:hAnsi="Times New Roman" w:cs="Times New Roman"/>
                <w:sz w:val="24"/>
                <w:szCs w:val="24"/>
              </w:rPr>
            </w:pPr>
          </w:p>
        </w:tc>
        <w:tc>
          <w:tcPr>
            <w:tcW w:w="2333" w:type="dxa"/>
            <w:tcBorders>
              <w:bottom w:val="single" w:sz="4" w:space="0" w:color="auto"/>
            </w:tcBorders>
            <w:vAlign w:val="center"/>
          </w:tcPr>
          <w:p w14:paraId="6861AB92"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0.02</w:t>
            </w:r>
          </w:p>
        </w:tc>
        <w:tc>
          <w:tcPr>
            <w:tcW w:w="2333" w:type="dxa"/>
            <w:tcBorders>
              <w:bottom w:val="single" w:sz="4" w:space="0" w:color="auto"/>
            </w:tcBorders>
            <w:vAlign w:val="center"/>
          </w:tcPr>
          <w:p w14:paraId="05FFE845"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8.71</w:t>
            </w:r>
          </w:p>
        </w:tc>
        <w:tc>
          <w:tcPr>
            <w:tcW w:w="2333" w:type="dxa"/>
            <w:tcBorders>
              <w:bottom w:val="single" w:sz="4" w:space="0" w:color="auto"/>
            </w:tcBorders>
            <w:vAlign w:val="center"/>
          </w:tcPr>
          <w:p w14:paraId="457E4594"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6.62</w:t>
            </w:r>
          </w:p>
        </w:tc>
      </w:tr>
    </w:tbl>
    <w:p w14:paraId="70136BEC" w14:textId="77777777" w:rsidR="00D65CBA" w:rsidRPr="009812B5" w:rsidRDefault="00D65CBA" w:rsidP="00D65CBA">
      <w:pPr>
        <w:spacing w:after="240" w:line="276" w:lineRule="auto"/>
        <w:rPr>
          <w:rFonts w:ascii="Times New Roman" w:hAnsi="Times New Roman" w:cs="Times New Roman"/>
          <w:sz w:val="24"/>
          <w:szCs w:val="24"/>
        </w:rPr>
      </w:pPr>
      <w:r w:rsidRPr="009812B5">
        <w:rPr>
          <w:rFonts w:ascii="Times New Roman" w:hAnsi="Times New Roman" w:cs="Times New Roman"/>
          <w:sz w:val="24"/>
          <w:szCs w:val="24"/>
        </w:rPr>
        <w:t>Control</w:t>
      </w:r>
      <w:r w:rsidRPr="009812B5">
        <w:rPr>
          <w:rFonts w:ascii="Times New Roman" w:hAnsi="Times New Roman" w:cs="Times New Roman"/>
          <w:sz w:val="24"/>
          <w:szCs w:val="24"/>
          <w:vertAlign w:val="superscript"/>
        </w:rPr>
        <w:t>1</w:t>
      </w:r>
      <w:r w:rsidRPr="009812B5">
        <w:rPr>
          <w:rFonts w:ascii="Times New Roman" w:hAnsi="Times New Roman" w:cs="Times New Roman"/>
          <w:sz w:val="24"/>
          <w:szCs w:val="24"/>
        </w:rPr>
        <w:t>: Control sample for test series of L-Methionine and L-Arginine</w:t>
      </w:r>
      <w:r w:rsidRPr="009812B5">
        <w:rPr>
          <w:rFonts w:ascii="Times New Roman" w:hAnsi="Times New Roman" w:cs="Times New Roman"/>
          <w:sz w:val="24"/>
          <w:szCs w:val="24"/>
        </w:rPr>
        <w:br/>
        <w:t>Control</w:t>
      </w:r>
      <w:r w:rsidRPr="009812B5">
        <w:rPr>
          <w:rFonts w:ascii="Times New Roman" w:hAnsi="Times New Roman" w:cs="Times New Roman"/>
          <w:sz w:val="24"/>
          <w:szCs w:val="24"/>
          <w:vertAlign w:val="superscript"/>
        </w:rPr>
        <w:t>2</w:t>
      </w:r>
      <w:r w:rsidRPr="009812B5">
        <w:rPr>
          <w:rFonts w:ascii="Times New Roman" w:hAnsi="Times New Roman" w:cs="Times New Roman"/>
          <w:sz w:val="24"/>
          <w:szCs w:val="24"/>
        </w:rPr>
        <w:t>: Control sample for test series of L-Glutamic Acid and L-Threonine</w:t>
      </w:r>
    </w:p>
    <w:tbl>
      <w:tblPr>
        <w:tblStyle w:val="TableGrid"/>
        <w:tblW w:w="9364" w:type="dxa"/>
        <w:tblBorders>
          <w:top w:val="none" w:sz="0" w:space="0" w:color="auto"/>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72"/>
        <w:gridCol w:w="1871"/>
        <w:gridCol w:w="1870"/>
        <w:gridCol w:w="1871"/>
        <w:gridCol w:w="1866"/>
        <w:gridCol w:w="14"/>
      </w:tblGrid>
      <w:tr w:rsidR="00D65CBA" w:rsidRPr="009812B5" w14:paraId="4F516222" w14:textId="77777777" w:rsidTr="00AD679A">
        <w:trPr>
          <w:gridAfter w:val="1"/>
          <w:wAfter w:w="14" w:type="dxa"/>
          <w:trHeight w:val="1790"/>
        </w:trPr>
        <w:tc>
          <w:tcPr>
            <w:tcW w:w="1872" w:type="dxa"/>
            <w:tcBorders>
              <w:top w:val="single" w:sz="4" w:space="0" w:color="auto"/>
              <w:bottom w:val="single" w:sz="4" w:space="0" w:color="auto"/>
            </w:tcBorders>
            <w:vAlign w:val="center"/>
          </w:tcPr>
          <w:p w14:paraId="34203D3D"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noProof/>
                <w:sz w:val="24"/>
                <w:szCs w:val="24"/>
              </w:rPr>
              <w:drawing>
                <wp:inline distT="0" distB="0" distL="0" distR="0" wp14:anchorId="563FB1D0" wp14:editId="649568F4">
                  <wp:extent cx="1051682" cy="1080135"/>
                  <wp:effectExtent l="0" t="0" r="0" b="5715"/>
                  <wp:docPr id="996433503" name="Picture 1" descr="A white plastic plate next to a yellow enve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6433503" name="Picture 1" descr="A white plastic plate next to a yellow envelope&#10;&#10;Description automatically generated"/>
                          <pic:cNvPicPr>
                            <a:picLocks noChangeAspect="1" noChangeArrowheads="1"/>
                          </pic:cNvPicPr>
                        </pic:nvPicPr>
                        <pic:blipFill rotWithShape="1">
                          <a:blip r:embed="rId14" cstate="print">
                            <a:extLst>
                              <a:ext uri="{28A0092B-C50C-407E-A947-70E740481C1C}">
                                <a14:useLocalDpi xmlns:a14="http://schemas.microsoft.com/office/drawing/2010/main" val="0"/>
                              </a:ext>
                            </a:extLst>
                          </a:blip>
                          <a:srcRect l="32284" t="35746" r="49981" b="41539"/>
                          <a:stretch/>
                        </pic:blipFill>
                        <pic:spPr bwMode="auto">
                          <a:xfrm>
                            <a:off x="0" y="0"/>
                            <a:ext cx="1054974" cy="108351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72" w:type="dxa"/>
            <w:tcBorders>
              <w:top w:val="single" w:sz="4" w:space="0" w:color="auto"/>
              <w:bottom w:val="single" w:sz="4" w:space="0" w:color="auto"/>
            </w:tcBorders>
            <w:vAlign w:val="center"/>
          </w:tcPr>
          <w:p w14:paraId="53DA146B" w14:textId="77777777" w:rsidR="00D65CBA" w:rsidRPr="009812B5" w:rsidRDefault="00D65CBA" w:rsidP="00AD679A">
            <w:pPr>
              <w:pStyle w:val="NormalWeb"/>
              <w:spacing w:before="120" w:beforeAutospacing="0" w:after="120" w:afterAutospacing="0"/>
              <w:jc w:val="center"/>
            </w:pPr>
            <w:r w:rsidRPr="009812B5">
              <w:rPr>
                <w:noProof/>
              </w:rPr>
              <w:drawing>
                <wp:inline distT="0" distB="0" distL="0" distR="0" wp14:anchorId="52E84429" wp14:editId="338BCBD6">
                  <wp:extent cx="1032164" cy="1066444"/>
                  <wp:effectExtent l="0" t="0" r="0" b="635"/>
                  <wp:docPr id="955589547" name="Picture 1" descr="A square object in a white contain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5589547" name="Picture 1" descr="A square object in a white container&#10;&#10;Description automatically generated"/>
                          <pic:cNvPicPr/>
                        </pic:nvPicPr>
                        <pic:blipFill rotWithShape="1">
                          <a:blip r:embed="rId15"/>
                          <a:srcRect l="18126" t="19320" r="20815" b="13618"/>
                          <a:stretch/>
                        </pic:blipFill>
                        <pic:spPr bwMode="auto">
                          <a:xfrm>
                            <a:off x="0" y="0"/>
                            <a:ext cx="1037945" cy="1072417"/>
                          </a:xfrm>
                          <a:prstGeom prst="rect">
                            <a:avLst/>
                          </a:prstGeom>
                          <a:ln>
                            <a:noFill/>
                          </a:ln>
                          <a:extLst>
                            <a:ext uri="{53640926-AAD7-44D8-BBD7-CCE9431645EC}">
                              <a14:shadowObscured xmlns:a14="http://schemas.microsoft.com/office/drawing/2010/main"/>
                            </a:ext>
                          </a:extLst>
                        </pic:spPr>
                      </pic:pic>
                    </a:graphicData>
                  </a:graphic>
                </wp:inline>
              </w:drawing>
            </w:r>
          </w:p>
        </w:tc>
        <w:tc>
          <w:tcPr>
            <w:tcW w:w="1868" w:type="dxa"/>
            <w:tcBorders>
              <w:top w:val="single" w:sz="4" w:space="0" w:color="auto"/>
              <w:bottom w:val="single" w:sz="4" w:space="0" w:color="auto"/>
            </w:tcBorders>
            <w:vAlign w:val="center"/>
          </w:tcPr>
          <w:p w14:paraId="704E1CBE" w14:textId="77777777" w:rsidR="00D65CBA" w:rsidRPr="009812B5" w:rsidRDefault="00D65CBA" w:rsidP="00AD679A">
            <w:pPr>
              <w:pStyle w:val="NormalWeb"/>
              <w:spacing w:before="120" w:beforeAutospacing="0" w:after="120" w:afterAutospacing="0"/>
              <w:jc w:val="center"/>
            </w:pPr>
            <w:r w:rsidRPr="009812B5">
              <w:rPr>
                <w:noProof/>
              </w:rPr>
              <w:drawing>
                <wp:inline distT="0" distB="0" distL="0" distR="0" wp14:anchorId="15179CA6" wp14:editId="45E13FDB">
                  <wp:extent cx="997527" cy="1080135"/>
                  <wp:effectExtent l="0" t="0" r="0" b="5715"/>
                  <wp:docPr id="1440634183" name="Picture 4" descr="A group of white square trays with square metal piec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0634183" name="Picture 4" descr="A group of white square trays with square metal pieces&#10;&#10;Description automatically generated with medium confidence"/>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44291" t="44589" r="38344" b="43858"/>
                          <a:stretch/>
                        </pic:blipFill>
                        <pic:spPr bwMode="auto">
                          <a:xfrm>
                            <a:off x="0" y="0"/>
                            <a:ext cx="1008333" cy="10918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1869" w:type="dxa"/>
            <w:tcBorders>
              <w:top w:val="single" w:sz="4" w:space="0" w:color="auto"/>
              <w:bottom w:val="single" w:sz="4" w:space="0" w:color="auto"/>
            </w:tcBorders>
            <w:vAlign w:val="center"/>
          </w:tcPr>
          <w:p w14:paraId="7FB196FC"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noProof/>
                <w:sz w:val="24"/>
                <w:szCs w:val="24"/>
              </w:rPr>
              <w:drawing>
                <wp:inline distT="0" distB="0" distL="0" distR="0" wp14:anchorId="6D5B8D32" wp14:editId="6C44B2CB">
                  <wp:extent cx="1010789" cy="1052195"/>
                  <wp:effectExtent l="0" t="0" r="0" b="0"/>
                  <wp:docPr id="1033505972" name="Picture 1" descr="A square metal object on a white su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3505972" name="Picture 1" descr="A square metal object on a white surface&#10;&#10;Description automatically generated"/>
                          <pic:cNvPicPr/>
                        </pic:nvPicPr>
                        <pic:blipFill rotWithShape="1">
                          <a:blip r:embed="rId17"/>
                          <a:srcRect l="11351" t="13904" r="10534" b="17402"/>
                          <a:stretch/>
                        </pic:blipFill>
                        <pic:spPr bwMode="auto">
                          <a:xfrm>
                            <a:off x="0" y="0"/>
                            <a:ext cx="1022766" cy="1064663"/>
                          </a:xfrm>
                          <a:prstGeom prst="rect">
                            <a:avLst/>
                          </a:prstGeom>
                          <a:ln>
                            <a:noFill/>
                          </a:ln>
                          <a:extLst>
                            <a:ext uri="{53640926-AAD7-44D8-BBD7-CCE9431645EC}">
                              <a14:shadowObscured xmlns:a14="http://schemas.microsoft.com/office/drawing/2010/main"/>
                            </a:ext>
                          </a:extLst>
                        </pic:spPr>
                      </pic:pic>
                    </a:graphicData>
                  </a:graphic>
                </wp:inline>
              </w:drawing>
            </w:r>
          </w:p>
        </w:tc>
        <w:tc>
          <w:tcPr>
            <w:tcW w:w="1869" w:type="dxa"/>
            <w:tcBorders>
              <w:top w:val="single" w:sz="4" w:space="0" w:color="auto"/>
              <w:bottom w:val="single" w:sz="4" w:space="0" w:color="auto"/>
            </w:tcBorders>
            <w:vAlign w:val="center"/>
          </w:tcPr>
          <w:p w14:paraId="5AFA4C63" w14:textId="77777777" w:rsidR="00D65CBA" w:rsidRPr="009812B5" w:rsidRDefault="00D65CBA" w:rsidP="00AD679A">
            <w:pPr>
              <w:pStyle w:val="NormalWeb"/>
              <w:spacing w:before="120" w:beforeAutospacing="0" w:after="120" w:afterAutospacing="0"/>
              <w:jc w:val="center"/>
            </w:pPr>
            <w:r w:rsidRPr="009812B5">
              <w:rPr>
                <w:noProof/>
              </w:rPr>
              <w:drawing>
                <wp:inline distT="0" distB="0" distL="0" distR="0" wp14:anchorId="228C0ADC" wp14:editId="71897029">
                  <wp:extent cx="969818" cy="1064255"/>
                  <wp:effectExtent l="0" t="0" r="1905" b="3175"/>
                  <wp:docPr id="1230394454" name="Picture 5" descr="A group of white square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394454" name="Picture 5" descr="A group of white square objects&#10;&#10;Description automatically generated with medium confidenc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43370" t="80804" r="40224" b="7375"/>
                          <a:stretch/>
                        </pic:blipFill>
                        <pic:spPr bwMode="auto">
                          <a:xfrm>
                            <a:off x="0" y="0"/>
                            <a:ext cx="974462" cy="10693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D65CBA" w:rsidRPr="009812B5" w14:paraId="61C705F7" w14:textId="77777777" w:rsidTr="00AD679A">
        <w:trPr>
          <w:trHeight w:val="278"/>
        </w:trPr>
        <w:tc>
          <w:tcPr>
            <w:tcW w:w="1872" w:type="dxa"/>
            <w:vAlign w:val="center"/>
          </w:tcPr>
          <w:p w14:paraId="002E88F9"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Before test</w:t>
            </w:r>
          </w:p>
        </w:tc>
        <w:tc>
          <w:tcPr>
            <w:tcW w:w="1872" w:type="dxa"/>
            <w:vAlign w:val="center"/>
          </w:tcPr>
          <w:p w14:paraId="14496B09"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Control</w:t>
            </w:r>
          </w:p>
        </w:tc>
        <w:tc>
          <w:tcPr>
            <w:tcW w:w="1872" w:type="dxa"/>
            <w:vAlign w:val="center"/>
          </w:tcPr>
          <w:p w14:paraId="5F9C030C"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0.002%</w:t>
            </w:r>
          </w:p>
        </w:tc>
        <w:tc>
          <w:tcPr>
            <w:tcW w:w="1872" w:type="dxa"/>
            <w:vAlign w:val="center"/>
          </w:tcPr>
          <w:p w14:paraId="7F2DD634"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0.008%</w:t>
            </w:r>
          </w:p>
        </w:tc>
        <w:tc>
          <w:tcPr>
            <w:tcW w:w="1876" w:type="dxa"/>
            <w:gridSpan w:val="2"/>
            <w:vAlign w:val="center"/>
          </w:tcPr>
          <w:p w14:paraId="1C7F7C0F" w14:textId="77777777" w:rsidR="00D65CBA" w:rsidRPr="009812B5" w:rsidRDefault="00D65CBA" w:rsidP="00AD679A">
            <w:pPr>
              <w:keepNext/>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0.02%</w:t>
            </w:r>
          </w:p>
        </w:tc>
      </w:tr>
    </w:tbl>
    <w:p w14:paraId="2B3CCF9D" w14:textId="77777777" w:rsidR="00D65CBA" w:rsidRPr="009E6C38" w:rsidRDefault="00D65CBA" w:rsidP="00D65CBA">
      <w:pPr>
        <w:pStyle w:val="Caption"/>
        <w:spacing w:after="240"/>
        <w:rPr>
          <w:rFonts w:ascii="Times New Roman" w:hAnsi="Times New Roman" w:cs="Times New Roman"/>
          <w:i w:val="0"/>
          <w:iCs w:val="0"/>
          <w:color w:val="auto"/>
          <w:sz w:val="24"/>
          <w:szCs w:val="24"/>
        </w:rPr>
      </w:pPr>
      <w:bookmarkStart w:id="2" w:name="_Ref161952284"/>
      <w:r w:rsidRPr="009E6C38">
        <w:rPr>
          <w:rFonts w:ascii="Times New Roman" w:hAnsi="Times New Roman" w:cs="Times New Roman"/>
          <w:b/>
          <w:bCs/>
          <w:i w:val="0"/>
          <w:iCs w:val="0"/>
          <w:color w:val="auto"/>
          <w:sz w:val="24"/>
          <w:szCs w:val="24"/>
        </w:rPr>
        <w:t xml:space="preserve">Figure </w:t>
      </w:r>
      <w:r w:rsidRPr="009E6C38">
        <w:rPr>
          <w:rFonts w:ascii="Times New Roman" w:hAnsi="Times New Roman" w:cs="Times New Roman"/>
          <w:b/>
          <w:bCs/>
          <w:i w:val="0"/>
          <w:iCs w:val="0"/>
          <w:color w:val="auto"/>
          <w:sz w:val="24"/>
          <w:szCs w:val="24"/>
        </w:rPr>
        <w:fldChar w:fldCharType="begin"/>
      </w:r>
      <w:r w:rsidRPr="009E6C38">
        <w:rPr>
          <w:rFonts w:ascii="Times New Roman" w:hAnsi="Times New Roman" w:cs="Times New Roman"/>
          <w:b/>
          <w:bCs/>
          <w:i w:val="0"/>
          <w:iCs w:val="0"/>
          <w:color w:val="auto"/>
          <w:sz w:val="24"/>
          <w:szCs w:val="24"/>
        </w:rPr>
        <w:instrText xml:space="preserve"> SEQ Figure \* ARABIC </w:instrText>
      </w:r>
      <w:r w:rsidRPr="009E6C3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9E6C38">
        <w:rPr>
          <w:rFonts w:ascii="Times New Roman" w:hAnsi="Times New Roman" w:cs="Times New Roman"/>
          <w:b/>
          <w:bCs/>
          <w:i w:val="0"/>
          <w:iCs w:val="0"/>
          <w:color w:val="auto"/>
          <w:sz w:val="24"/>
          <w:szCs w:val="24"/>
        </w:rPr>
        <w:fldChar w:fldCharType="end"/>
      </w:r>
      <w:bookmarkEnd w:id="2"/>
      <w:r w:rsidRPr="009E6C38">
        <w:rPr>
          <w:rFonts w:ascii="Times New Roman" w:hAnsi="Times New Roman" w:cs="Times New Roman"/>
          <w:b/>
          <w:bCs/>
          <w:i w:val="0"/>
          <w:iCs w:val="0"/>
          <w:color w:val="auto"/>
          <w:sz w:val="24"/>
          <w:szCs w:val="24"/>
        </w:rPr>
        <w:t>:</w:t>
      </w:r>
      <w:r w:rsidRPr="009E6C38">
        <w:rPr>
          <w:rFonts w:ascii="Times New Roman" w:hAnsi="Times New Roman" w:cs="Times New Roman"/>
          <w:i w:val="0"/>
          <w:iCs w:val="0"/>
          <w:color w:val="auto"/>
          <w:sz w:val="24"/>
          <w:szCs w:val="24"/>
        </w:rPr>
        <w:t xml:space="preserve"> Mild steel samples tested for weight loss measurement before and after the test in 0.5M HCl with different concentrations of L-Threonine</w:t>
      </w:r>
    </w:p>
    <w:p w14:paraId="56F58FAD" w14:textId="77777777" w:rsidR="00D65CBA" w:rsidRPr="009812B5" w:rsidRDefault="00D65CBA" w:rsidP="00D65CBA">
      <w:pPr>
        <w:pStyle w:val="Heading2"/>
        <w:numPr>
          <w:ilvl w:val="1"/>
          <w:numId w:val="2"/>
        </w:numPr>
        <w:spacing w:before="120" w:after="120" w:line="276" w:lineRule="auto"/>
        <w:rPr>
          <w:rFonts w:ascii="Times New Roman" w:hAnsi="Times New Roman" w:cs="Times New Roman"/>
          <w:b/>
          <w:bCs/>
          <w:color w:val="auto"/>
          <w:sz w:val="24"/>
          <w:szCs w:val="24"/>
        </w:rPr>
      </w:pPr>
      <w:r w:rsidRPr="009812B5">
        <w:rPr>
          <w:rFonts w:ascii="Times New Roman" w:hAnsi="Times New Roman" w:cs="Times New Roman"/>
          <w:b/>
          <w:bCs/>
          <w:color w:val="auto"/>
          <w:sz w:val="24"/>
          <w:szCs w:val="24"/>
        </w:rPr>
        <w:t>Electrochemical Measurements</w:t>
      </w:r>
    </w:p>
    <w:p w14:paraId="2595D14B" w14:textId="77777777" w:rsidR="00D65CBA" w:rsidRPr="009812B5" w:rsidRDefault="00D65CBA" w:rsidP="00D65CBA">
      <w:pPr>
        <w:pStyle w:val="ListParagraph"/>
        <w:numPr>
          <w:ilvl w:val="0"/>
          <w:numId w:val="6"/>
        </w:numPr>
        <w:spacing w:before="120" w:after="120" w:line="276" w:lineRule="auto"/>
        <w:jc w:val="both"/>
        <w:rPr>
          <w:rFonts w:ascii="Times New Roman" w:hAnsi="Times New Roman" w:cs="Times New Roman"/>
          <w:b/>
          <w:bCs/>
          <w:sz w:val="24"/>
          <w:szCs w:val="24"/>
        </w:rPr>
      </w:pPr>
      <w:r w:rsidRPr="009812B5">
        <w:rPr>
          <w:rFonts w:ascii="Times New Roman" w:hAnsi="Times New Roman" w:cs="Times New Roman"/>
          <w:b/>
          <w:bCs/>
          <w:sz w:val="24"/>
          <w:szCs w:val="24"/>
        </w:rPr>
        <w:t>Electrochemical impedance spectroscopy (EIS)</w:t>
      </w:r>
    </w:p>
    <w:p w14:paraId="7F8ADDDE" w14:textId="77777777" w:rsidR="00D65CBA"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Electrochemical impedance spectroscopy is a powerful technique used for the analysis of interfacial properties related to corrosion events occurring at the electrode surface. Therefore, the corrosion and inhibition processes were also investigated by the EIS analysis in this work.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REF _Ref161952341 \h  \* MERGEFORMAT </w:instrText>
      </w:r>
      <w:r w:rsidRPr="009812B5">
        <w:rPr>
          <w:rFonts w:ascii="Times New Roman" w:hAnsi="Times New Roman" w:cs="Times New Roman"/>
          <w:sz w:val="24"/>
          <w:szCs w:val="24"/>
        </w:rPr>
      </w:r>
      <w:r w:rsidRPr="009812B5">
        <w:rPr>
          <w:rFonts w:ascii="Times New Roman" w:hAnsi="Times New Roman" w:cs="Times New Roman"/>
          <w:sz w:val="24"/>
          <w:szCs w:val="24"/>
        </w:rPr>
        <w:fldChar w:fldCharType="separate"/>
      </w:r>
      <w:r w:rsidRPr="001247F9">
        <w:rPr>
          <w:rFonts w:ascii="Times New Roman" w:hAnsi="Times New Roman" w:cs="Times New Roman"/>
          <w:sz w:val="24"/>
          <w:szCs w:val="24"/>
        </w:rPr>
        <w:t xml:space="preserve">Figure </w:t>
      </w:r>
      <w:r w:rsidRPr="001247F9">
        <w:rPr>
          <w:rFonts w:ascii="Times New Roman" w:hAnsi="Times New Roman" w:cs="Times New Roman"/>
          <w:noProof/>
          <w:sz w:val="24"/>
          <w:szCs w:val="24"/>
        </w:rPr>
        <w:t>3</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xml:space="preserve"> displays the obtained Nyquist plots, Bode, and phase angle plots for mild steel electrode without and with the Methionine as an inhibitor at the various concentrations. </w:t>
      </w:r>
    </w:p>
    <w:p w14:paraId="0D6E93A0" w14:textId="77777777" w:rsidR="00D65CBA" w:rsidRPr="009812B5"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It is noted that all obtained Nyquist curves for both uninhibited and Methionine-inhibited systems were depressed semi</w:t>
      </w:r>
      <w:r>
        <w:rPr>
          <w:rFonts w:ascii="Times New Roman" w:hAnsi="Times New Roman" w:cs="Times New Roman"/>
          <w:sz w:val="24"/>
          <w:szCs w:val="24"/>
        </w:rPr>
        <w:t>-circles</w:t>
      </w:r>
      <w:r w:rsidRPr="009812B5">
        <w:rPr>
          <w:rFonts w:ascii="Times New Roman" w:hAnsi="Times New Roman" w:cs="Times New Roman"/>
          <w:sz w:val="24"/>
          <w:szCs w:val="24"/>
        </w:rPr>
        <w:t xml:space="preserve">, showing that the charge-transfer mechanism controls the reaction processes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{"citationID":"CSuvM22F","properties":{"formattedCitation":"(Guo et al., 2022)","plainCitation":"(Guo et al., 2022)","noteIndex":0},"citationItems":[{"id":4,"uris":["http://zotero.org/users/13853408/items/CS8FEIUM"],"itemData":{"id":4,"type":"article-journal","abstract":"This work focuses on the investigation of the inhibitory activity of imidazolidiny urea (IU) on mild steel in acidic environment by electrochemical and scanning electron microscopy (SEM) methods. The obtained results showed that adding IU to the corrosive medium significantly slows down the corrosion process, and the maximum inhibition efficiency can achieve 95% when the inhibitor concentration is 28 mM. The potentiodynamic polarization approach evidenced that IU is a mixed-type inhibitor and its adhesion on the substrate surface obeyed Langmuir adsorption isotherm. The SEM-EDS results show that a thin barrier film formed on the steel surface, which isolated the metal substrate from corrosive solution and then decoupled the cathodic &amp; anodic corrosion processes. In addition, density-functional based tight-binding (DFTB) calculations were conducted to validate the inhibition mechanism. All obtained results ensure that the IU can control the corrosion process. This research provides a new candidate for environmental friendly corrosion inhibitors which has wide application prospect in the industry.","container-title":"International Journal of Electrochemical Science","DOI":"10.20964/2022.07.34","ISSN":"14523981","issue":"7","journalAbbreviation":"International Journal of Electrochemical Science","language":"en","page":"220748","source":"DOI.org (Crossref)","title":"Imidazolidiny Urea as a Potential Corrosion Inhibitor for Mild Steel in HCl Medium: Experimental and Density-Functional Based Tight-Binding Methods","title-short":"Imidazolidiny Urea as a Potential Corrosion Inhibitor for Mild Steel in HCl Medium","volume":"17","author":[{"family":"Guo","given":"Lei"},{"family":"Luo","given":"Yuzhou"},{"family":"Huang","given":"Yue"},{"family":"Yang","given":"Wenjie"},{"family":"Zheng","given":"Xingwen"},{"family":"Lin","given":"Yuanhua"},{"family":"Marzouki","given":"Riadh"}],"issued":{"date-parts":[["2022",7]]}}}],"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(Guo et al., 2022)</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In Nyquist plots, the intercept of the loops on the horizontal axis and the diameter of the capacitive loop represents the charge transfer resistance (R</w:t>
      </w:r>
      <w:r w:rsidRPr="009812B5">
        <w:rPr>
          <w:rFonts w:ascii="Times New Roman" w:hAnsi="Times New Roman" w:cs="Times New Roman"/>
          <w:sz w:val="24"/>
          <w:szCs w:val="24"/>
          <w:vertAlign w:val="subscript"/>
        </w:rPr>
        <w:t>ct</w:t>
      </w:r>
      <w:r w:rsidRPr="009812B5">
        <w:rPr>
          <w:rFonts w:ascii="Times New Roman" w:hAnsi="Times New Roman" w:cs="Times New Roman"/>
          <w:sz w:val="24"/>
          <w:szCs w:val="24"/>
        </w:rPr>
        <w:t>). A larger R</w:t>
      </w:r>
      <w:r w:rsidRPr="009812B5">
        <w:rPr>
          <w:rFonts w:ascii="Times New Roman" w:hAnsi="Times New Roman" w:cs="Times New Roman"/>
          <w:sz w:val="24"/>
          <w:szCs w:val="24"/>
          <w:vertAlign w:val="subscript"/>
        </w:rPr>
        <w:t>ct</w:t>
      </w:r>
      <w:r w:rsidRPr="009812B5">
        <w:rPr>
          <w:rFonts w:ascii="Times New Roman" w:hAnsi="Times New Roman" w:cs="Times New Roman"/>
          <w:sz w:val="24"/>
          <w:szCs w:val="24"/>
        </w:rPr>
        <w:t xml:space="preserve"> indicates a stronger resistance to corrosion. As illustrated in Figure 2 (a), the diameters of the Nyquist semicircles increased with increasing Methionine concentration. This indicates that charge transfer resistance (R</w:t>
      </w:r>
      <w:r w:rsidRPr="009812B5">
        <w:rPr>
          <w:rFonts w:ascii="Times New Roman" w:hAnsi="Times New Roman" w:cs="Times New Roman"/>
          <w:sz w:val="24"/>
          <w:szCs w:val="24"/>
          <w:vertAlign w:val="subscript"/>
        </w:rPr>
        <w:t>ct</w:t>
      </w:r>
      <w:r w:rsidRPr="009812B5">
        <w:rPr>
          <w:rFonts w:ascii="Times New Roman" w:hAnsi="Times New Roman" w:cs="Times New Roman"/>
          <w:sz w:val="24"/>
          <w:szCs w:val="24"/>
        </w:rPr>
        <w:t xml:space="preserve">) increases with increasing inhibitor concentration. This phenomenon can be defined as the inhibited system showing resistance to corrosion current flow with an increase in Methionine concentrations. In other words, attracting the Methionine to the metal surface makes migration of charge to the electrode surface more difficult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{"citationID":"M5O99pu5","properties":{"formattedCitation":"(Wang et al., 2023)","plainCitation":"(Wang et al., 2023)","noteIndex":0},"citationItems":[{"id":20,"uris":["http://zotero.org/users/13853408/items/WSTHHEM2"],"itemData":{"id":20,"type":"article-journal","abstract":"In this study, corrosion inhibitors from waste protein were extracted, and their anti–corrosion behavior was investigated on a laboratory–scale. The functional groups of the protein waste extract (PWE) were identified using Fourier transform infrared (FTIR) spectroscopy. High–performance liquid chromatography (HPLC) was used to determine the variety and concentration of the amino acids. The efficiency of the inhibitor was assessed by electrochemical experiments. The results show that PWE, as an environmentally friendly corrosion inhibitor, has the highest corrosion inhibition efficiency of up to 96.2% at a temperature of 298 K and a concentration of 1000 ppm. The mechanism of PWE was evaluated by atomic force microscopy (AFM) and X–ray photoelectron spectrometry (XPS). The findings demonstrated that the PWE contains 17 different types of amino acids that can effectively adsorb onto the metal and inhibit the corrosion reaction of steel in an acidic environment. The polarization curve confirmed that the PWE was a mixed type of inhibitor. This work could provide useful insights into the development and utilization of eco–friendly corrosion inhibitors.","container-title":"Sustainable Chemistry and Pharmacy","DOI":"10.1016/j.scp.2023.101177","ISSN":"23525541","journalAbbreviation":"Sustainable Chemistry and Pharmacy","language":"en","page":"101177","source":"DOI.org (Crossref)","title":"Insight into anti-corrosion behavior of protein extract as eco–friendly corrosion inhibitor","volume":"34","author":[{"family":"Wang","given":"Qihui"},{"family":"Zhang","given":"Qi"},{"family":"Zheng","given":"Huahao"},{"family":"Liu","given":"Li"},{"family":"Wu","given":"Xiaodi"},{"family":"Zhao","given":"Chongkang"},{"family":"Zhou","given":"Xing"},{"family":"Sun","given":"Yi"},{"family":"Yan","given":"Zhitao"},{"family":"Li","given":"Xueming"}],"issued":{"date-parts":[["2023",9]]}}}],"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(Wang et al., 2023)</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xml:space="preserve">. </w:t>
      </w:r>
    </w:p>
    <w:p w14:paraId="66220BE8" w14:textId="77777777" w:rsidR="00D65CBA"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To further analyze the obtained impedance data, Bode plots were developed. The Modulus plot in Figure 2 (b) showed that the value of impedance modulus (|Z|) increases with increasing Methionine concentration, which indicates that the adsorption of Methionine inhibits the </w:t>
      </w:r>
      <w:r w:rsidRPr="009812B5">
        <w:rPr>
          <w:rFonts w:ascii="Times New Roman" w:hAnsi="Times New Roman" w:cs="Times New Roman"/>
          <w:sz w:val="24"/>
          <w:szCs w:val="24"/>
        </w:rPr>
        <w:lastRenderedPageBreak/>
        <w:t xml:space="preserve">corrosion of steel in HCl solution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{"citationID":"HZp5ApMB","properties":{"formattedCitation":"(Guo et al., 2022)","plainCitation":"(Guo et al., 2022)","noteIndex":0},"citationItems":[{"id":4,"uris":["http://zotero.org/users/13853408/items/CS8FEIUM"],"itemData":{"id":4,"type":"article-journal","abstract":"This work focuses on the investigation of the inhibitory activity of imidazolidiny urea (IU) on mild steel in acidic environment by electrochemical and scanning electron microscopy (SEM) methods. The obtained results showed that adding IU to the corrosive medium significantly slows down the corrosion process, and the maximum inhibition efficiency can achieve 95% when the inhibitor concentration is 28 mM. The potentiodynamic polarization approach evidenced that IU is a mixed-type inhibitor and its adhesion on the substrate surface obeyed Langmuir adsorption isotherm. The SEM-EDS results show that a thin barrier film formed on the steel surface, which isolated the metal substrate from corrosive solution and then decoupled the cathodic &amp; anodic corrosion processes. In addition, density-functional based tight-binding (DFTB) calculations were conducted to validate the inhibition mechanism. All obtained results ensure that the IU can control the corrosion process. This research provides a new candidate for environmental friendly corrosion inhibitors which has wide application prospect in the industry.","container-title":"International Journal of Electrochemical Science","DOI":"10.20964/2022.07.34","ISSN":"14523981","issue":"7","journalAbbreviation":"International Journal of Electrochemical Science","language":"en","page":"220748","source":"DOI.org (Crossref)","title":"Imidazolidiny Urea as a Potential Corrosion Inhibitor for Mild Steel in HCl Medium: Experimental and Density-Functional Based Tight-Binding Methods","title-short":"Imidazolidiny Urea as a Potential Corrosion Inhibitor for Mild Steel in HCl Medium","volume":"17","author":[{"family":"Guo","given":"Lei"},{"family":"Luo","given":"Yuzhou"},{"family":"Huang","given":"Yue"},{"family":"Yang","given":"Wenjie"},{"family":"Zheng","given":"Xingwen"},{"family":"Lin","given":"Yuanhua"},{"family":"Marzouki","given":"Riadh"}],"issued":{"date-parts":[["2022",7]]}}}],"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(Guo et al., 2022)</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xml:space="preserve">. Having higher absolute impedance values at higher concentrations resulted from the alteration of the double layer on the metal surface due to the adsorption of Methionine molecules by forming metal complexes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{"citationID":"S31d9w6f","properties":{"formattedCitation":"(Udayappan &amp; Veawab, 2022)","plainCitation":"(Udayappan &amp; Veawab, 2022)","noteIndex":0},"citationItems":[{"id":18,"uris":["http://zotero.org/users/13853408/items/DYBWRGQD"],"itemData":{"id":18,"type":"article-journal","abstract":"The corrosion inhibition performance of an amino acid, namely methionine (MTI) was evaluated for the absorption-based carbon capture process using aqueous monoethanolamine (MEA). Results from electrochemical tests showed MTI considerably reduced corrosion rates of carbon steel 1018 with inhibition efficiencies of up to 83.56% and 74.96% under static and dynamic conditions, respectively. Its inhibition performance increased with MTI concentration and solution temperature, but decreased with rotational speed. Results from weight loss tests confirmed MTI’s inhibition effectiveness on carbon steel exposed to all phases including liquid, vapor, and liquidvapor. MTI functioned as a mixed-type corrosion inhibitor which protected metal surface by undergoing spon­ taneous and endothermic physical adsorption with the Langmuir adsorption isotherm.","container-title":"International Journal of Greenhouse Gas Control","DOI":"10.1016/j.ijggc.2021.103565","ISSN":"17505836","journalAbbreviation":"International Journal of Greenhouse Gas Control","language":"en","page":"103565","source":"DOI.org (Crossref)","title":"Performance analysis of methionine as an environmentally friendly corrosion inhibitor for carbon steel in the amine based carbon capture process","volume":"114","author":[{"family":"Udayappan","given":"Balaji"},{"family":"Veawab","given":"Amornvadee"}],"issued":{"date-parts":[["2022",2]]}}}],"schema":"https://github.com/citation-style-language/schema/raw/master/csl-citation.json"}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(Udayappan &amp; Veawab, 2022)</w:t>
      </w:r>
      <w:r w:rsidRPr="009812B5">
        <w:rPr>
          <w:rFonts w:ascii="Times New Roman" w:hAnsi="Times New Roman" w:cs="Times New Roman"/>
          <w:sz w:val="24"/>
          <w:szCs w:val="24"/>
        </w:rPr>
        <w:fldChar w:fldCharType="end"/>
      </w:r>
      <w:r>
        <w:rPr>
          <w:rFonts w:ascii="Times New Roman" w:hAnsi="Times New Roman" w:cs="Times New Roman"/>
          <w:sz w:val="24"/>
          <w:szCs w:val="24"/>
        </w:rPr>
        <w:t xml:space="preserve">. </w:t>
      </w:r>
    </w:p>
    <w:p w14:paraId="432FB89E" w14:textId="77777777" w:rsidR="00D65CBA" w:rsidRPr="009812B5"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It was also shown in Figure 2 (c) that values of maximum phase angle for Methionine-inhibited specimens increased with concentration of inhibitor. Moreover, the obtained values for the inhibited case were higher than those for the uninhibited specimens with a single time constant. The presence of a single time constant for the Phase angle plot suggests that there is a dominant relaxation process occurring in the system. This could indicate the kinetics of the corrosion and inhibition processes on the working electrode.</w:t>
      </w:r>
      <w:r w:rsidRPr="009812B5">
        <w:rPr>
          <w:rFonts w:ascii="Times New Roman" w:hAnsi="Times New Roman" w:cs="Times New Roman"/>
          <w:sz w:val="24"/>
          <w:szCs w:val="24"/>
          <w:shd w:val="clear" w:color="auto" w:fill="FFFFFF"/>
        </w:rPr>
        <w:t xml:space="preserve"> Also, this shows</w:t>
      </w:r>
      <w:r w:rsidRPr="009812B5">
        <w:rPr>
          <w:rFonts w:ascii="Times New Roman" w:hAnsi="Times New Roman" w:cs="Times New Roman"/>
          <w:sz w:val="24"/>
          <w:szCs w:val="24"/>
        </w:rPr>
        <w:t xml:space="preserve"> that the metal surface became appreciably smooth owing to the formation of a protective film by the inhibitor over the metal surface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{"citationID":"2o6WDgGF","properties":{"formattedCitation":"(Verma et al., 2017)","plainCitation":"(Verma et al., 2017)","noteIndex":0},"citationItems":[{"id":16,"uris":["http://zotero.org/users/13853408/items/ILKZK6XG"],"itemData":{"id":16,"type":"article-journal","abstract":"Abstract\n            \n              D-glucose derivatives of dihydropyrido-[2,3-d:6,5-d′]-dipyrimidine-2, 4, 6, 8(1H,3H, 5H,7H)-tetraone (GPHs) have been synthesized and investigated as corrosion inhibitors for mild steel in 1M HCl solution using gravimetric, electrochemical, surface, quantum chemical calculations and Monte Carlo simulations methods. The order of inhibition efficiencies is GPH-3 &gt; GPH-2 &gt; GPH-1. The results further showed that the inhibitor molecules with electron releasing (-OH, -OCH\n              3\n              ) substituents exhibit higher efficiency than the parent molecule without any substituents. Polarization study suggests that the studied compounds are mixed-type but exhibited predominantly cathodic inhibitive effect. The adsorption of these compounds on mild steel surface obeyed the Langmuir adsorption isotherm. SEM, EDX and AFM analyses were used to confirm the inhibitive actions of the molecules on mild steel surface. Quantum chemical (QC) calculations and Monte Carlo (MC) simulations studies were undertaken to further corroborate the experimental results.","container-title":"Scientific Reports","DOI":"10.1038/srep44432","ISSN":"2045-2322","issue":"1","journalAbbreviation":"Sci Rep","language":"en","page":"44432","source":"DOI.org (Crossref)","title":"Corrosion inhibition of mild steel in 1M HCl by D-glucose derivatives of dihydropyrido [2,3-d:6,5-d′] dipyrimidine-2, 4, 6, 8(1H,3H, 5H,7H)-tetraone","title-short":"Corrosion inhibition of mild steel in 1M HCl by D-glucose derivatives of dihydropyrido [2,3-d","volume":"7","author":[{"family":"Verma","given":"Chandrabhan"},{"family":"Quraishi","given":"M. A."},{"family":"Kluza","given":"K."},{"family":"Makowska-Janusik","given":"M."},{"family":"Olasunkanmi","given":"Lukman O."},{"family":"Ebenso","given":"Eno E."}],"issued":{"date-parts":[["2017",3,20]]}}}],"schema":"https://github.com/citation-style-language/schema/raw/master/csl-citation.json"}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(Verma et al., 2017)</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xml:space="preserve">. </w:t>
      </w:r>
    </w:p>
    <w:p w14:paraId="18CA7079" w14:textId="77777777" w:rsidR="00D65CBA" w:rsidRPr="009812B5" w:rsidRDefault="00D65CBA" w:rsidP="00D65CBA">
      <w:pPr>
        <w:spacing w:before="120" w:after="120" w:line="276" w:lineRule="auto"/>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
        <w:gridCol w:w="8815"/>
      </w:tblGrid>
      <w:tr w:rsidR="00D65CBA" w:rsidRPr="009812B5" w14:paraId="3E5FCE6E" w14:textId="77777777" w:rsidTr="00AD679A">
        <w:trPr>
          <w:trHeight w:val="4130"/>
        </w:trPr>
        <w:tc>
          <w:tcPr>
            <w:tcW w:w="535" w:type="dxa"/>
          </w:tcPr>
          <w:p w14:paraId="29499B17" w14:textId="77777777" w:rsidR="00D65CBA" w:rsidRPr="009812B5" w:rsidRDefault="00D65CBA" w:rsidP="00AD679A">
            <w:pPr>
              <w:pStyle w:val="NormalWeb"/>
              <w:spacing w:before="120" w:beforeAutospacing="0" w:after="120" w:afterAutospacing="0" w:line="276" w:lineRule="auto"/>
              <w:jc w:val="right"/>
              <w:rPr>
                <w:noProof/>
              </w:rPr>
            </w:pPr>
            <w:r w:rsidRPr="009812B5">
              <w:rPr>
                <w:noProof/>
              </w:rPr>
              <w:t>(a)</w:t>
            </w:r>
          </w:p>
        </w:tc>
        <w:tc>
          <w:tcPr>
            <w:tcW w:w="8815" w:type="dxa"/>
            <w:vAlign w:val="center"/>
          </w:tcPr>
          <w:p w14:paraId="07CF7FA0" w14:textId="77777777" w:rsidR="00D65CBA" w:rsidRPr="009812B5" w:rsidRDefault="00D65CBA" w:rsidP="00AD679A">
            <w:pPr>
              <w:pStyle w:val="NormalWeb"/>
              <w:spacing w:before="120" w:beforeAutospacing="0" w:after="120" w:afterAutospacing="0" w:line="276" w:lineRule="auto"/>
              <w:jc w:val="center"/>
            </w:pPr>
            <w:r w:rsidRPr="000E2F7C">
              <w:rPr>
                <w:noProof/>
              </w:rPr>
              <w:drawing>
                <wp:inline distT="0" distB="0" distL="0" distR="0" wp14:anchorId="40A0D7B8" wp14:editId="75808D60">
                  <wp:extent cx="2901304" cy="2554275"/>
                  <wp:effectExtent l="0" t="0" r="0" b="0"/>
                  <wp:docPr id="40713143" name="Picture 1" descr="A graph of different colored lin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13143" name="Picture 1" descr="A graph of different colored lines&#10;&#10;Description automatically generated"/>
                          <pic:cNvPicPr/>
                        </pic:nvPicPr>
                        <pic:blipFill>
                          <a:blip r:embed="rId19"/>
                          <a:stretch>
                            <a:fillRect/>
                          </a:stretch>
                        </pic:blipFill>
                        <pic:spPr>
                          <a:xfrm>
                            <a:off x="0" y="0"/>
                            <a:ext cx="2927607" cy="2577432"/>
                          </a:xfrm>
                          <a:prstGeom prst="rect">
                            <a:avLst/>
                          </a:prstGeom>
                        </pic:spPr>
                      </pic:pic>
                    </a:graphicData>
                  </a:graphic>
                </wp:inline>
              </w:drawing>
            </w:r>
          </w:p>
        </w:tc>
      </w:tr>
      <w:tr w:rsidR="00D65CBA" w:rsidRPr="009812B5" w14:paraId="304D88BB" w14:textId="77777777" w:rsidTr="00AD679A">
        <w:trPr>
          <w:trHeight w:val="3950"/>
        </w:trPr>
        <w:tc>
          <w:tcPr>
            <w:tcW w:w="535" w:type="dxa"/>
          </w:tcPr>
          <w:p w14:paraId="7C7F195D" w14:textId="77777777" w:rsidR="00D65CBA" w:rsidRPr="009812B5" w:rsidRDefault="00D65CBA" w:rsidP="00AD679A">
            <w:pPr>
              <w:pStyle w:val="NormalWeb"/>
              <w:spacing w:before="120" w:beforeAutospacing="0" w:after="120" w:afterAutospacing="0" w:line="276" w:lineRule="auto"/>
              <w:jc w:val="right"/>
              <w:rPr>
                <w:noProof/>
              </w:rPr>
            </w:pPr>
            <w:r w:rsidRPr="009812B5">
              <w:rPr>
                <w:noProof/>
              </w:rPr>
              <w:lastRenderedPageBreak/>
              <w:t>(b)</w:t>
            </w:r>
          </w:p>
        </w:tc>
        <w:tc>
          <w:tcPr>
            <w:tcW w:w="8815" w:type="dxa"/>
            <w:vAlign w:val="center"/>
          </w:tcPr>
          <w:p w14:paraId="32FD08F6" w14:textId="77777777" w:rsidR="00D65CBA" w:rsidRPr="009812B5" w:rsidRDefault="00D65CBA" w:rsidP="00AD679A">
            <w:pPr>
              <w:pStyle w:val="NormalWeb"/>
              <w:spacing w:before="120" w:beforeAutospacing="0" w:after="120" w:afterAutospacing="0" w:line="276" w:lineRule="auto"/>
              <w:jc w:val="center"/>
            </w:pPr>
            <w:r w:rsidRPr="000E2F7C">
              <w:rPr>
                <w:noProof/>
              </w:rPr>
              <w:drawing>
                <wp:inline distT="0" distB="0" distL="0" distR="0" wp14:anchorId="5FBC8C6A" wp14:editId="5F63B81D">
                  <wp:extent cx="3037924" cy="2501420"/>
                  <wp:effectExtent l="0" t="0" r="0" b="0"/>
                  <wp:docPr id="1221764709" name="Picture 1"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764709" name="Picture 1" descr="A graph of a graph&#10;&#10;Description automatically generated with medium confidence"/>
                          <pic:cNvPicPr/>
                        </pic:nvPicPr>
                        <pic:blipFill>
                          <a:blip r:embed="rId20"/>
                          <a:stretch>
                            <a:fillRect/>
                          </a:stretch>
                        </pic:blipFill>
                        <pic:spPr>
                          <a:xfrm>
                            <a:off x="0" y="0"/>
                            <a:ext cx="3055529" cy="2515916"/>
                          </a:xfrm>
                          <a:prstGeom prst="rect">
                            <a:avLst/>
                          </a:prstGeom>
                        </pic:spPr>
                      </pic:pic>
                    </a:graphicData>
                  </a:graphic>
                </wp:inline>
              </w:drawing>
            </w:r>
          </w:p>
        </w:tc>
      </w:tr>
      <w:tr w:rsidR="00D65CBA" w:rsidRPr="009812B5" w14:paraId="4353C2CE" w14:textId="77777777" w:rsidTr="00AD679A">
        <w:tc>
          <w:tcPr>
            <w:tcW w:w="535" w:type="dxa"/>
          </w:tcPr>
          <w:p w14:paraId="29832CBA" w14:textId="77777777" w:rsidR="00D65CBA" w:rsidRPr="009812B5" w:rsidRDefault="00D65CBA" w:rsidP="00AD679A">
            <w:pPr>
              <w:spacing w:before="120" w:after="120" w:line="276" w:lineRule="auto"/>
              <w:jc w:val="right"/>
              <w:rPr>
                <w:rFonts w:ascii="Times New Roman" w:hAnsi="Times New Roman" w:cs="Times New Roman"/>
                <w:sz w:val="24"/>
                <w:szCs w:val="24"/>
              </w:rPr>
            </w:pPr>
            <w:r w:rsidRPr="009812B5">
              <w:rPr>
                <w:rFonts w:ascii="Times New Roman" w:hAnsi="Times New Roman" w:cs="Times New Roman"/>
                <w:sz w:val="24"/>
                <w:szCs w:val="24"/>
              </w:rPr>
              <w:t>(c)</w:t>
            </w:r>
          </w:p>
        </w:tc>
        <w:tc>
          <w:tcPr>
            <w:tcW w:w="8815" w:type="dxa"/>
            <w:vAlign w:val="center"/>
          </w:tcPr>
          <w:p w14:paraId="2857974A" w14:textId="77777777" w:rsidR="00D65CBA" w:rsidRPr="009812B5" w:rsidRDefault="00D65CBA" w:rsidP="00AD679A">
            <w:pPr>
              <w:keepNext/>
              <w:spacing w:before="120" w:after="120" w:line="276" w:lineRule="auto"/>
              <w:jc w:val="center"/>
              <w:rPr>
                <w:rFonts w:ascii="Times New Roman" w:hAnsi="Times New Roman" w:cs="Times New Roman"/>
                <w:sz w:val="24"/>
                <w:szCs w:val="24"/>
              </w:rPr>
            </w:pPr>
            <w:r w:rsidRPr="009812B5">
              <w:rPr>
                <w:rFonts w:ascii="Times New Roman" w:hAnsi="Times New Roman" w:cs="Times New Roman"/>
                <w:noProof/>
                <w:sz w:val="24"/>
                <w:szCs w:val="24"/>
              </w:rPr>
              <w:drawing>
                <wp:inline distT="0" distB="0" distL="0" distR="0" wp14:anchorId="0F9B292C" wp14:editId="4E874165">
                  <wp:extent cx="3286927" cy="2241550"/>
                  <wp:effectExtent l="0" t="0" r="8890" b="6350"/>
                  <wp:docPr id="1193222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3222904" name=""/>
                          <pic:cNvPicPr/>
                        </pic:nvPicPr>
                        <pic:blipFill rotWithShape="1">
                          <a:blip r:embed="rId21"/>
                          <a:srcRect l="6556" t="2797" r="6597" b="3888"/>
                          <a:stretch/>
                        </pic:blipFill>
                        <pic:spPr bwMode="auto">
                          <a:xfrm>
                            <a:off x="0" y="0"/>
                            <a:ext cx="3309901" cy="2257217"/>
                          </a:xfrm>
                          <a:prstGeom prst="rect">
                            <a:avLst/>
                          </a:prstGeom>
                          <a:ln>
                            <a:noFill/>
                          </a:ln>
                          <a:extLst>
                            <a:ext uri="{53640926-AAD7-44D8-BBD7-CCE9431645EC}">
                              <a14:shadowObscured xmlns:a14="http://schemas.microsoft.com/office/drawing/2010/main"/>
                            </a:ext>
                          </a:extLst>
                        </pic:spPr>
                      </pic:pic>
                    </a:graphicData>
                  </a:graphic>
                </wp:inline>
              </w:drawing>
            </w:r>
          </w:p>
        </w:tc>
      </w:tr>
    </w:tbl>
    <w:p w14:paraId="7F653944" w14:textId="77777777" w:rsidR="00D65CBA" w:rsidRPr="009E6C38" w:rsidRDefault="00D65CBA" w:rsidP="00D65CBA">
      <w:pPr>
        <w:pStyle w:val="Caption"/>
        <w:rPr>
          <w:rFonts w:ascii="Times New Roman" w:hAnsi="Times New Roman" w:cs="Times New Roman"/>
          <w:i w:val="0"/>
          <w:iCs w:val="0"/>
          <w:color w:val="auto"/>
          <w:sz w:val="24"/>
          <w:szCs w:val="24"/>
        </w:rPr>
      </w:pPr>
      <w:bookmarkStart w:id="3" w:name="_Ref161952341"/>
      <w:r w:rsidRPr="009E6C38">
        <w:rPr>
          <w:rFonts w:ascii="Times New Roman" w:hAnsi="Times New Roman" w:cs="Times New Roman"/>
          <w:b/>
          <w:bCs/>
          <w:i w:val="0"/>
          <w:iCs w:val="0"/>
          <w:color w:val="auto"/>
          <w:sz w:val="24"/>
          <w:szCs w:val="24"/>
        </w:rPr>
        <w:t xml:space="preserve">Figure </w:t>
      </w:r>
      <w:r w:rsidRPr="009E6C38">
        <w:rPr>
          <w:rFonts w:ascii="Times New Roman" w:hAnsi="Times New Roman" w:cs="Times New Roman"/>
          <w:b/>
          <w:bCs/>
          <w:i w:val="0"/>
          <w:iCs w:val="0"/>
          <w:color w:val="auto"/>
          <w:sz w:val="24"/>
          <w:szCs w:val="24"/>
        </w:rPr>
        <w:fldChar w:fldCharType="begin"/>
      </w:r>
      <w:r w:rsidRPr="009E6C38">
        <w:rPr>
          <w:rFonts w:ascii="Times New Roman" w:hAnsi="Times New Roman" w:cs="Times New Roman"/>
          <w:b/>
          <w:bCs/>
          <w:i w:val="0"/>
          <w:iCs w:val="0"/>
          <w:color w:val="auto"/>
          <w:sz w:val="24"/>
          <w:szCs w:val="24"/>
        </w:rPr>
        <w:instrText xml:space="preserve"> SEQ Figure \* ARABIC </w:instrText>
      </w:r>
      <w:r w:rsidRPr="009E6C3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9E6C38">
        <w:rPr>
          <w:rFonts w:ascii="Times New Roman" w:hAnsi="Times New Roman" w:cs="Times New Roman"/>
          <w:b/>
          <w:bCs/>
          <w:i w:val="0"/>
          <w:iCs w:val="0"/>
          <w:color w:val="auto"/>
          <w:sz w:val="24"/>
          <w:szCs w:val="24"/>
        </w:rPr>
        <w:fldChar w:fldCharType="end"/>
      </w:r>
      <w:bookmarkEnd w:id="3"/>
      <w:r w:rsidRPr="009E6C38">
        <w:rPr>
          <w:rFonts w:ascii="Times New Roman" w:hAnsi="Times New Roman" w:cs="Times New Roman"/>
          <w:b/>
          <w:bCs/>
          <w:i w:val="0"/>
          <w:iCs w:val="0"/>
          <w:color w:val="auto"/>
          <w:sz w:val="24"/>
          <w:szCs w:val="24"/>
        </w:rPr>
        <w:t>:</w:t>
      </w:r>
      <w:r w:rsidRPr="009E6C38">
        <w:rPr>
          <w:rFonts w:ascii="Times New Roman" w:hAnsi="Times New Roman" w:cs="Times New Roman"/>
          <w:i w:val="0"/>
          <w:iCs w:val="0"/>
          <w:color w:val="auto"/>
          <w:sz w:val="24"/>
          <w:szCs w:val="24"/>
        </w:rPr>
        <w:t xml:space="preserve"> (a) Nyquist, (b) Bode plots, and (c) Phase angle plots for mild steel in 0.5M HCl with different concentrations of L-Methionine</w:t>
      </w:r>
    </w:p>
    <w:p w14:paraId="6952DD23" w14:textId="77777777" w:rsidR="00D65CBA" w:rsidRPr="009812B5"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In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REF _Ref161952405 \h  \* MERGEFORMAT </w:instrText>
      </w:r>
      <w:r w:rsidRPr="009812B5">
        <w:rPr>
          <w:rFonts w:ascii="Times New Roman" w:hAnsi="Times New Roman" w:cs="Times New Roman"/>
          <w:sz w:val="24"/>
          <w:szCs w:val="24"/>
        </w:rPr>
      </w:r>
      <w:r w:rsidRPr="009812B5">
        <w:rPr>
          <w:rFonts w:ascii="Times New Roman" w:hAnsi="Times New Roman" w:cs="Times New Roman"/>
          <w:sz w:val="24"/>
          <w:szCs w:val="24"/>
        </w:rPr>
        <w:fldChar w:fldCharType="separate"/>
      </w:r>
      <w:r w:rsidRPr="001247F9">
        <w:rPr>
          <w:rFonts w:ascii="Times New Roman" w:hAnsi="Times New Roman" w:cs="Times New Roman"/>
          <w:sz w:val="24"/>
          <w:szCs w:val="24"/>
        </w:rPr>
        <w:t xml:space="preserve">Figure </w:t>
      </w:r>
      <w:r w:rsidRPr="001247F9">
        <w:rPr>
          <w:rFonts w:ascii="Times New Roman" w:hAnsi="Times New Roman" w:cs="Times New Roman"/>
          <w:noProof/>
          <w:sz w:val="24"/>
          <w:szCs w:val="24"/>
        </w:rPr>
        <w:t>4</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the Nyquist plots were presented for the mild steel in 0.5 M HCl without and with Glutamic Acid as an inhibitor at different concentrations. It was observed from the plot</w:t>
      </w:r>
      <w:r>
        <w:rPr>
          <w:rFonts w:ascii="Times New Roman" w:hAnsi="Times New Roman" w:cs="Times New Roman"/>
          <w:sz w:val="24"/>
          <w:szCs w:val="24"/>
        </w:rPr>
        <w:t xml:space="preserve"> that</w:t>
      </w:r>
      <w:r w:rsidRPr="009812B5">
        <w:rPr>
          <w:rFonts w:ascii="Times New Roman" w:hAnsi="Times New Roman" w:cs="Times New Roman"/>
          <w:sz w:val="24"/>
          <w:szCs w:val="24"/>
        </w:rPr>
        <w:t xml:space="preserve"> the R</w:t>
      </w:r>
      <w:r w:rsidRPr="009812B5">
        <w:rPr>
          <w:rFonts w:ascii="Times New Roman" w:hAnsi="Times New Roman" w:cs="Times New Roman"/>
          <w:sz w:val="24"/>
          <w:szCs w:val="24"/>
          <w:vertAlign w:val="subscript"/>
        </w:rPr>
        <w:t>ct</w:t>
      </w:r>
      <w:r w:rsidRPr="009812B5">
        <w:rPr>
          <w:rFonts w:ascii="Times New Roman" w:hAnsi="Times New Roman" w:cs="Times New Roman"/>
          <w:sz w:val="24"/>
          <w:szCs w:val="24"/>
        </w:rPr>
        <w:t xml:space="preserve"> values for all concentrations of Glutamic Acid were lower than the control sample. This indicates that Glutamic Acid does not provide any effect towards inhibiting the corrosion of mild steel in 0.5 M HCl; rather its presence marginally enhances the rate of corrosion of mild steel in 0.5 M HCl. This can be linked with an increase in the rate of cathodic reduction reaction, as the anodic reaction pathway remains unperturbed. The interionic interactions in the aqueous acid solution in the presence of amino acid result in an increase in the rate of the cathodic reduction reaction. There are H</w:t>
      </w:r>
      <w:r w:rsidRPr="009812B5">
        <w:rPr>
          <w:rFonts w:ascii="Times New Roman" w:hAnsi="Times New Roman" w:cs="Times New Roman"/>
          <w:sz w:val="24"/>
          <w:szCs w:val="24"/>
          <w:vertAlign w:val="superscript"/>
        </w:rPr>
        <w:t>+</w:t>
      </w:r>
      <w:r w:rsidRPr="009812B5">
        <w:rPr>
          <w:rFonts w:ascii="Times New Roman" w:hAnsi="Times New Roman" w:cs="Times New Roman"/>
          <w:sz w:val="24"/>
          <w:szCs w:val="24"/>
        </w:rPr>
        <w:t xml:space="preserve"> and Cl</w:t>
      </w:r>
      <w:r w:rsidRPr="009812B5">
        <w:rPr>
          <w:rFonts w:ascii="Times New Roman" w:hAnsi="Times New Roman" w:cs="Times New Roman"/>
          <w:sz w:val="24"/>
          <w:szCs w:val="24"/>
          <w:vertAlign w:val="superscript"/>
        </w:rPr>
        <w:t>-</w:t>
      </w:r>
      <w:r w:rsidRPr="009812B5">
        <w:rPr>
          <w:rFonts w:ascii="Times New Roman" w:hAnsi="Times New Roman" w:cs="Times New Roman"/>
          <w:sz w:val="24"/>
          <w:szCs w:val="24"/>
        </w:rPr>
        <w:t xml:space="preserve"> ions present in hydrated ion-pair form in the aqueous HCl solution. When Glutamic Acid is added to the HCl solution, it takes up a proton from the solution and becomes cationic form. The cationic Glutamic Acid has a larger dipole moment than water. So, water dipoles reorient themselves along cationic Glutamic Acid.  This phenomenon leads to more diffusible H</w:t>
      </w:r>
      <w:r w:rsidRPr="009812B5">
        <w:rPr>
          <w:rFonts w:ascii="Times New Roman" w:hAnsi="Times New Roman" w:cs="Times New Roman"/>
          <w:sz w:val="24"/>
          <w:szCs w:val="24"/>
          <w:vertAlign w:val="superscript"/>
        </w:rPr>
        <w:t>+</w:t>
      </w:r>
      <w:r w:rsidRPr="009812B5">
        <w:rPr>
          <w:rFonts w:ascii="Times New Roman" w:hAnsi="Times New Roman" w:cs="Times New Roman"/>
          <w:sz w:val="24"/>
          <w:szCs w:val="24"/>
        </w:rPr>
        <w:t xml:space="preserve"> ions in the aqueous solution. Thus, more H</w:t>
      </w:r>
      <w:r w:rsidRPr="009812B5">
        <w:rPr>
          <w:rFonts w:ascii="Times New Roman" w:hAnsi="Times New Roman" w:cs="Times New Roman"/>
          <w:sz w:val="24"/>
          <w:szCs w:val="24"/>
          <w:vertAlign w:val="superscript"/>
        </w:rPr>
        <w:t>+</w:t>
      </w:r>
      <w:r w:rsidRPr="009812B5">
        <w:rPr>
          <w:rFonts w:ascii="Times New Roman" w:hAnsi="Times New Roman" w:cs="Times New Roman"/>
          <w:sz w:val="24"/>
          <w:szCs w:val="24"/>
        </w:rPr>
        <w:t xml:space="preserve"> ions can be </w:t>
      </w:r>
      <w:r w:rsidRPr="009812B5">
        <w:rPr>
          <w:rFonts w:ascii="Times New Roman" w:hAnsi="Times New Roman" w:cs="Times New Roman"/>
          <w:sz w:val="24"/>
          <w:szCs w:val="24"/>
        </w:rPr>
        <w:lastRenderedPageBreak/>
        <w:t xml:space="preserve">diffused toward cathodic reaction sites per unit of time, resulting in an overall increase in the corrosion rate of mild steel in acid medium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{"citationID":"DUUe47xr","properties":{"formattedCitation":"(Roy et al., 2017)","plainCitation":"(Roy et al., 2017)","noteIndex":0},"citationItems":[{"id":6,"uris":["http://zotero.org/users/13853408/items/7SIAXGMR"],"itemData":{"id":6,"type":"article-journal","abstract":"The potentiality of poly-c-glutamic acid (PGA), a naturally occurring polypeptide, towards inhibiting corrosion of mild steel in 1 M HCl is hereby assessed through electrochemical and gravimetric analysis, evaluation of adsorption and activation parameters, coupled with theoretical calculations. Inhibition efﬁciency of PGA is compared with that of its monomeric unit, glutamic acid (GA, a non-essential amino acid). While GA does not show any anti-corrosive effect, PGA is found to be a good corrosion inhibitor for the studied system with inhibition efﬁciency more than 90% within the temperature range of 293–303 K and up to an exposure time of 24 h. Experimental result has been explained in terms of decreased energy gap between the frontier molecular orbitals, increased dipole moment, and molecular chain length, as well as availability of interacting amide groups resulting due to co-polymerization. Occurrence of intramolecular synergism towards corrosion inhibition due to co-polymerization is further supported by molecular dynamics simulation results.","container-title":"Research on Chemical Intermediates","DOI":"10.1007/s11164-017-2887-6","ISSN":"0922-6168, 1568-5675","issue":"8","journalAbbreviation":"Res Chem Intermed","language":"en","page":"4423-4444","source":"DOI.org (Crossref)","title":"Experimental and theoretical investigation towards anti-corrosive property of glutamic acid and poly-γ-glutamic acid for mild steel in 1 M HCl: intramolecular synergism due to copolymerization","title-short":"Experimental and theoretical investigation towards anti-corrosive property of glutamic acid and poly-γ-glutamic acid for mild steel in 1 M HCl","volume":"43","author":[{"family":"Roy","given":"Pialee"},{"family":"Saha","given":"Sourav Kr."},{"family":"Banerjee","given":"Priyabrata"},{"family":"Dey","given":"Sukalpa"},{"family":"Sukul","given":"Dipankar"}],"issued":{"date-parts":[["2017",8]]}}}],"schema":"https://github.com/citation-style-language/schema/raw/master/csl-citation.json"}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(Roy et al., 2017)</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xml:space="preserv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5CBA" w:rsidRPr="009812B5" w14:paraId="6596B290" w14:textId="77777777" w:rsidTr="00AD679A">
        <w:tc>
          <w:tcPr>
            <w:tcW w:w="9350" w:type="dxa"/>
            <w:vAlign w:val="center"/>
          </w:tcPr>
          <w:p w14:paraId="2AFA763C" w14:textId="77777777" w:rsidR="00D65CBA" w:rsidRPr="009812B5" w:rsidRDefault="00D65CBA" w:rsidP="00AD679A">
            <w:pPr>
              <w:pStyle w:val="NormalWeb"/>
              <w:keepNext/>
              <w:spacing w:before="120" w:beforeAutospacing="0" w:after="120" w:afterAutospacing="0" w:line="276" w:lineRule="auto"/>
              <w:jc w:val="center"/>
            </w:pPr>
            <w:r w:rsidRPr="000E2F7C">
              <w:rPr>
                <w:noProof/>
              </w:rPr>
              <w:drawing>
                <wp:inline distT="0" distB="0" distL="0" distR="0" wp14:anchorId="35E49350" wp14:editId="1CF432D1">
                  <wp:extent cx="4209861" cy="3498322"/>
                  <wp:effectExtent l="0" t="0" r="635" b="6985"/>
                  <wp:docPr id="1974303630" name="Picture 1" descr="A graph of 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303630" name="Picture 1" descr="A graph of a graph of a graph&#10;&#10;Description automatically generated with medium confidence"/>
                          <pic:cNvPicPr/>
                        </pic:nvPicPr>
                        <pic:blipFill>
                          <a:blip r:embed="rId22"/>
                          <a:stretch>
                            <a:fillRect/>
                          </a:stretch>
                        </pic:blipFill>
                        <pic:spPr>
                          <a:xfrm>
                            <a:off x="0" y="0"/>
                            <a:ext cx="4241222" cy="3524383"/>
                          </a:xfrm>
                          <a:prstGeom prst="rect">
                            <a:avLst/>
                          </a:prstGeom>
                        </pic:spPr>
                      </pic:pic>
                    </a:graphicData>
                  </a:graphic>
                </wp:inline>
              </w:drawing>
            </w:r>
          </w:p>
        </w:tc>
      </w:tr>
    </w:tbl>
    <w:p w14:paraId="614D2530" w14:textId="77777777" w:rsidR="00D65CBA" w:rsidRPr="00082B48" w:rsidRDefault="00D65CBA" w:rsidP="00D65CBA">
      <w:pPr>
        <w:pStyle w:val="Caption"/>
        <w:rPr>
          <w:rFonts w:ascii="Times New Roman" w:hAnsi="Times New Roman" w:cs="Times New Roman"/>
          <w:i w:val="0"/>
          <w:iCs w:val="0"/>
          <w:color w:val="auto"/>
          <w:sz w:val="24"/>
          <w:szCs w:val="24"/>
        </w:rPr>
      </w:pPr>
      <w:bookmarkStart w:id="4" w:name="_Ref161952405"/>
      <w:r w:rsidRPr="00082B48">
        <w:rPr>
          <w:rFonts w:ascii="Times New Roman" w:hAnsi="Times New Roman" w:cs="Times New Roman"/>
          <w:b/>
          <w:bCs/>
          <w:i w:val="0"/>
          <w:iCs w:val="0"/>
          <w:color w:val="auto"/>
          <w:sz w:val="24"/>
          <w:szCs w:val="24"/>
        </w:rPr>
        <w:t xml:space="preserve">Figure </w:t>
      </w:r>
      <w:r w:rsidRPr="00082B48">
        <w:rPr>
          <w:rFonts w:ascii="Times New Roman" w:hAnsi="Times New Roman" w:cs="Times New Roman"/>
          <w:b/>
          <w:bCs/>
          <w:i w:val="0"/>
          <w:iCs w:val="0"/>
          <w:color w:val="auto"/>
          <w:sz w:val="24"/>
          <w:szCs w:val="24"/>
        </w:rPr>
        <w:fldChar w:fldCharType="begin"/>
      </w:r>
      <w:r w:rsidRPr="00082B48">
        <w:rPr>
          <w:rFonts w:ascii="Times New Roman" w:hAnsi="Times New Roman" w:cs="Times New Roman"/>
          <w:b/>
          <w:bCs/>
          <w:i w:val="0"/>
          <w:iCs w:val="0"/>
          <w:color w:val="auto"/>
          <w:sz w:val="24"/>
          <w:szCs w:val="24"/>
        </w:rPr>
        <w:instrText xml:space="preserve"> SEQ Figure \* ARABIC </w:instrText>
      </w:r>
      <w:r w:rsidRPr="00082B4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4</w:t>
      </w:r>
      <w:r w:rsidRPr="00082B48">
        <w:rPr>
          <w:rFonts w:ascii="Times New Roman" w:hAnsi="Times New Roman" w:cs="Times New Roman"/>
          <w:b/>
          <w:bCs/>
          <w:i w:val="0"/>
          <w:iCs w:val="0"/>
          <w:color w:val="auto"/>
          <w:sz w:val="24"/>
          <w:szCs w:val="24"/>
        </w:rPr>
        <w:fldChar w:fldCharType="end"/>
      </w:r>
      <w:bookmarkEnd w:id="4"/>
      <w:r w:rsidRPr="00082B48">
        <w:rPr>
          <w:rFonts w:ascii="Times New Roman" w:hAnsi="Times New Roman" w:cs="Times New Roman"/>
          <w:b/>
          <w:bCs/>
          <w:i w:val="0"/>
          <w:iCs w:val="0"/>
          <w:color w:val="auto"/>
          <w:sz w:val="24"/>
          <w:szCs w:val="24"/>
        </w:rPr>
        <w:t>:</w:t>
      </w:r>
      <w:r w:rsidRPr="00082B48">
        <w:rPr>
          <w:rFonts w:ascii="Times New Roman" w:hAnsi="Times New Roman" w:cs="Times New Roman"/>
          <w:i w:val="0"/>
          <w:iCs w:val="0"/>
          <w:color w:val="auto"/>
          <w:sz w:val="24"/>
          <w:szCs w:val="24"/>
        </w:rPr>
        <w:t xml:space="preserve"> Nyquist plots for mild steel in 0.5M HCl with different concentrations of L-Glutamic Acid</w:t>
      </w:r>
    </w:p>
    <w:p w14:paraId="67988B56" w14:textId="77777777" w:rsidR="00D65CBA" w:rsidRPr="009812B5"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The measured impedance data for all amino acids used as inhibitors is listed in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REF _Ref161952458 \h  \* MERGEFORMAT </w:instrText>
      </w:r>
      <w:r w:rsidRPr="009812B5">
        <w:rPr>
          <w:rFonts w:ascii="Times New Roman" w:hAnsi="Times New Roman" w:cs="Times New Roman"/>
          <w:sz w:val="24"/>
          <w:szCs w:val="24"/>
        </w:rPr>
      </w:r>
      <w:r w:rsidRPr="009812B5">
        <w:rPr>
          <w:rFonts w:ascii="Times New Roman" w:hAnsi="Times New Roman" w:cs="Times New Roman"/>
          <w:sz w:val="24"/>
          <w:szCs w:val="24"/>
        </w:rPr>
        <w:fldChar w:fldCharType="separate"/>
      </w:r>
      <w:r w:rsidRPr="001247F9">
        <w:rPr>
          <w:rFonts w:ascii="Times New Roman" w:hAnsi="Times New Roman" w:cs="Times New Roman"/>
          <w:sz w:val="24"/>
          <w:szCs w:val="24"/>
        </w:rPr>
        <w:t xml:space="preserve">Table </w:t>
      </w:r>
      <w:r w:rsidRPr="001247F9">
        <w:rPr>
          <w:rFonts w:ascii="Times New Roman" w:hAnsi="Times New Roman" w:cs="Times New Roman"/>
          <w:noProof/>
          <w:sz w:val="24"/>
          <w:szCs w:val="24"/>
        </w:rPr>
        <w:t>2</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xml:space="preserve">. The obtained results in EIS were analyzed using an electrical equivalent circuit as shown in </w:t>
      </w:r>
      <w:r w:rsidRPr="009812B5">
        <w:rPr>
          <w:rFonts w:ascii="Times New Roman" w:hAnsi="Times New Roman" w:cs="Times New Roman"/>
          <w:sz w:val="24"/>
          <w:szCs w:val="24"/>
          <w:highlight w:val="yellow"/>
        </w:rPr>
        <w:fldChar w:fldCharType="begin"/>
      </w:r>
      <w:r w:rsidRPr="009812B5">
        <w:rPr>
          <w:rFonts w:ascii="Times New Roman" w:hAnsi="Times New Roman" w:cs="Times New Roman"/>
          <w:sz w:val="24"/>
          <w:szCs w:val="24"/>
        </w:rPr>
        <w:instrText xml:space="preserve"> REF _Ref161952501 \h </w:instrText>
      </w:r>
      <w:r w:rsidRPr="009812B5">
        <w:rPr>
          <w:rFonts w:ascii="Times New Roman" w:hAnsi="Times New Roman" w:cs="Times New Roman"/>
          <w:sz w:val="24"/>
          <w:szCs w:val="24"/>
          <w:highlight w:val="yellow"/>
        </w:rPr>
        <w:instrText xml:space="preserve"> \* MERGEFORMAT </w:instrText>
      </w:r>
      <w:r w:rsidRPr="009812B5">
        <w:rPr>
          <w:rFonts w:ascii="Times New Roman" w:hAnsi="Times New Roman" w:cs="Times New Roman"/>
          <w:sz w:val="24"/>
          <w:szCs w:val="24"/>
          <w:highlight w:val="yellow"/>
        </w:rPr>
      </w:r>
      <w:r w:rsidRPr="009812B5">
        <w:rPr>
          <w:rFonts w:ascii="Times New Roman" w:hAnsi="Times New Roman" w:cs="Times New Roman"/>
          <w:sz w:val="24"/>
          <w:szCs w:val="24"/>
          <w:highlight w:val="yellow"/>
        </w:rPr>
        <w:fldChar w:fldCharType="separate"/>
      </w:r>
      <w:r w:rsidRPr="001247F9">
        <w:rPr>
          <w:rFonts w:ascii="Times New Roman" w:hAnsi="Times New Roman" w:cs="Times New Roman"/>
          <w:sz w:val="24"/>
          <w:szCs w:val="24"/>
        </w:rPr>
        <w:t xml:space="preserve">Figure </w:t>
      </w:r>
      <w:r w:rsidRPr="001247F9">
        <w:rPr>
          <w:rFonts w:ascii="Times New Roman" w:hAnsi="Times New Roman" w:cs="Times New Roman"/>
          <w:noProof/>
          <w:sz w:val="24"/>
          <w:szCs w:val="24"/>
        </w:rPr>
        <w:t>5</w:t>
      </w:r>
      <w:r w:rsidRPr="009812B5">
        <w:rPr>
          <w:rFonts w:ascii="Times New Roman" w:hAnsi="Times New Roman" w:cs="Times New Roman"/>
          <w:sz w:val="24"/>
          <w:szCs w:val="24"/>
          <w:highlight w:val="yellow"/>
        </w:rPr>
        <w:fldChar w:fldCharType="end"/>
      </w:r>
      <w:r w:rsidRPr="009812B5">
        <w:rPr>
          <w:rFonts w:ascii="Times New Roman" w:hAnsi="Times New Roman" w:cs="Times New Roman"/>
          <w:sz w:val="24"/>
          <w:szCs w:val="24"/>
        </w:rPr>
        <w:t>. In this circuit, R</w:t>
      </w:r>
      <w:r w:rsidRPr="009812B5">
        <w:rPr>
          <w:rFonts w:ascii="Times New Roman" w:hAnsi="Times New Roman" w:cs="Times New Roman"/>
          <w:sz w:val="24"/>
          <w:szCs w:val="24"/>
          <w:vertAlign w:val="subscript"/>
        </w:rPr>
        <w:t>S</w:t>
      </w:r>
      <w:r w:rsidRPr="009812B5">
        <w:rPr>
          <w:rFonts w:ascii="Times New Roman" w:hAnsi="Times New Roman" w:cs="Times New Roman"/>
          <w:sz w:val="24"/>
          <w:szCs w:val="24"/>
        </w:rPr>
        <w:t xml:space="preserve"> is the solution resistance between the reference and the working electrodes, R</w:t>
      </w:r>
      <w:r w:rsidRPr="009812B5">
        <w:rPr>
          <w:rFonts w:ascii="Times New Roman" w:hAnsi="Times New Roman" w:cs="Times New Roman"/>
          <w:sz w:val="24"/>
          <w:szCs w:val="24"/>
          <w:vertAlign w:val="subscript"/>
        </w:rPr>
        <w:t>ct</w:t>
      </w:r>
      <w:r w:rsidRPr="009812B5">
        <w:rPr>
          <w:rFonts w:ascii="Times New Roman" w:hAnsi="Times New Roman" w:cs="Times New Roman"/>
          <w:sz w:val="24"/>
          <w:szCs w:val="24"/>
        </w:rPr>
        <w:t xml:space="preserve"> represents the charge-transfer resistance at the metal-electrolyte interface, and CPE is the constant phase element. The use of CPE instead of double-layer capacitance (Cdl) could be linked to compensate for the deviation from the ideal dielectric behavior caused by the inhomogeneous nature of the electrode surface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{"citationID":"RfobPvdF","properties":{"formattedCitation":"(Guo et al., 2022)","plainCitation":"(Guo et al., 2022)","noteIndex":0},"citationItems":[{"id":4,"uris":["http://zotero.org/users/13853408/items/CS8FEIUM"],"itemData":{"id":4,"type":"article-journal","abstract":"This work focuses on the investigation of the inhibitory activity of imidazolidiny urea (IU) on mild steel in acidic environment by electrochemical and scanning electron microscopy (SEM) methods. The obtained results showed that adding IU to the corrosive medium significantly slows down the corrosion process, and the maximum inhibition efficiency can achieve 95% when the inhibitor concentration is 28 mM. The potentiodynamic polarization approach evidenced that IU is a mixed-type inhibitor and its adhesion on the substrate surface obeyed Langmuir adsorption isotherm. The SEM-EDS results show that a thin barrier film formed on the steel surface, which isolated the metal substrate from corrosive solution and then decoupled the cathodic &amp; anodic corrosion processes. In addition, density-functional based tight-binding (DFTB) calculations were conducted to validate the inhibition mechanism. All obtained results ensure that the IU can control the corrosion process. This research provides a new candidate for environmental friendly corrosion inhibitors which has wide application prospect in the industry.","container-title":"International Journal of Electrochemical Science","DOI":"10.20964/2022.07.34","ISSN":"14523981","issue":"7","journalAbbreviation":"International Journal of Electrochemical Science","language":"en","page":"220748","source":"DOI.org (Crossref)","title":"Imidazolidiny Urea as a Potential Corrosion Inhibitor for Mild Steel in HCl Medium: Experimental and Density-Functional Based Tight-Binding Methods","title-short":"Imidazolidiny Urea as a Potential Corrosion Inhibitor for Mild Steel in HCl Medium","volume":"17","author":[{"family":"Guo","given":"Lei"},{"family":"Luo","given":"Yuzhou"},{"family":"Huang","given":"Yue"},{"family":"Yang","given":"Wenjie"},{"family":"Zheng","given":"Xingwen"},{"family":"Lin","given":"Yuanhua"},{"family":"Marzouki","given":"Riadh"}],"issued":{"date-parts":[["2022",7]]}}}],"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(Guo et al., 2022)</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The impedance function of CPE can be described by the equation: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65CBA" w:rsidRPr="009812B5" w14:paraId="56AF19BE" w14:textId="77777777" w:rsidTr="00AD679A">
        <w:tc>
          <w:tcPr>
            <w:tcW w:w="4675" w:type="dxa"/>
            <w:vAlign w:val="center"/>
          </w:tcPr>
          <w:p w14:paraId="62264778" w14:textId="77777777" w:rsidR="00D65CBA" w:rsidRPr="006C0A93" w:rsidRDefault="00000000" w:rsidP="00AD679A">
            <w:pPr>
              <w:autoSpaceDE w:val="0"/>
              <w:autoSpaceDN w:val="0"/>
              <w:adjustRightInd w:val="0"/>
              <w:spacing w:before="120" w:after="120" w:line="276" w:lineRule="auto"/>
              <w:rPr>
                <w:rFonts w:ascii="Times New Roman" w:eastAsiaTheme="minorEastAsia" w:hAnsi="Times New Roman" w:cs="Times New Roman"/>
                <w:sz w:val="24"/>
                <w:szCs w:val="24"/>
                <w:highlight w:val="magenta"/>
              </w:rPr>
            </w:pPr>
            <m:oMathPara>
              <m:oMathParaPr>
                <m:jc m:val="left"/>
              </m:oMathParaPr>
              <m:oMath>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Z</m:t>
                    </m:r>
                  </m:e>
                  <m:sub>
                    <m:r>
                      <m:rPr>
                        <m:nor/>
                      </m:rPr>
                      <w:rPr>
                        <w:rFonts w:ascii="Times New Roman" w:eastAsiaTheme="minorEastAsia" w:hAnsi="Times New Roman" w:cs="Times New Roman"/>
                        <w:sz w:val="24"/>
                        <w:szCs w:val="24"/>
                      </w:rPr>
                      <m:t>CPE</m:t>
                    </m:r>
                  </m:sub>
                </m:sSub>
                <m:r>
                  <m:rPr>
                    <m:nor/>
                  </m:rPr>
                  <w:rPr>
                    <w:rFonts w:ascii="Times New Roman" w:eastAsiaTheme="minorEastAsia" w:hAnsi="Times New Roman" w:cs="Times New Roman"/>
                    <w:sz w:val="24"/>
                    <w:szCs w:val="24"/>
                  </w:rPr>
                  <m:t>=</m:t>
                </m:r>
                <m:sSubSup>
                  <m:sSubSupPr>
                    <m:ctrlPr>
                      <w:rPr>
                        <w:rFonts w:ascii="Cambria Math" w:eastAsiaTheme="minorEastAsia" w:hAnsi="Cambria Math" w:cs="Times New Roman"/>
                        <w:sz w:val="24"/>
                        <w:szCs w:val="24"/>
                      </w:rPr>
                    </m:ctrlPr>
                  </m:sSubSupPr>
                  <m:e>
                    <m:r>
                      <m:rPr>
                        <m:nor/>
                      </m:rPr>
                      <w:rPr>
                        <w:rFonts w:ascii="Times New Roman" w:eastAsiaTheme="minorEastAsia" w:hAnsi="Times New Roman" w:cs="Times New Roman"/>
                        <w:sz w:val="24"/>
                        <w:szCs w:val="24"/>
                      </w:rPr>
                      <m:t>Y</m:t>
                    </m:r>
                  </m:e>
                  <m:sub>
                    <m:r>
                      <m:rPr>
                        <m:nor/>
                      </m:rPr>
                      <w:rPr>
                        <w:rFonts w:ascii="Times New Roman" w:eastAsiaTheme="minorEastAsia" w:hAnsi="Times New Roman" w:cs="Times New Roman"/>
                        <w:sz w:val="24"/>
                        <w:szCs w:val="24"/>
                      </w:rPr>
                      <m:t>0</m:t>
                    </m:r>
                  </m:sub>
                  <m:sup>
                    <m:r>
                      <m:rPr>
                        <m:nor/>
                      </m:rPr>
                      <w:rPr>
                        <w:rFonts w:ascii="Times New Roman" w:eastAsiaTheme="minorEastAsia" w:hAnsi="Times New Roman" w:cs="Times New Roman"/>
                        <w:sz w:val="24"/>
                        <w:szCs w:val="24"/>
                      </w:rPr>
                      <m:t>-1</m:t>
                    </m:r>
                  </m:sup>
                </m:sSubSup>
                <m:sSup>
                  <m:sSupPr>
                    <m:ctrlPr>
                      <w:rPr>
                        <w:rFonts w:ascii="Cambria Math" w:eastAsiaTheme="minorEastAsia" w:hAnsi="Cambria Math" w:cs="Times New Roman"/>
                        <w:sz w:val="24"/>
                        <w:szCs w:val="24"/>
                      </w:rPr>
                    </m:ctrlPr>
                  </m:sSupPr>
                  <m:e>
                    <m:r>
                      <m:rPr>
                        <m:nor/>
                      </m:rPr>
                      <w:rPr>
                        <w:rFonts w:ascii="Times New Roman" w:eastAsiaTheme="minorEastAsia" w:hAnsi="Times New Roman" w:cs="Times New Roman"/>
                        <w:sz w:val="24"/>
                        <w:szCs w:val="24"/>
                      </w:rPr>
                      <m:t>(jω)</m:t>
                    </m:r>
                  </m:e>
                  <m:sup>
                    <m:r>
                      <m:rPr>
                        <m:nor/>
                      </m:rPr>
                      <w:rPr>
                        <w:rFonts w:ascii="Times New Roman" w:eastAsiaTheme="minorEastAsia" w:hAnsi="Times New Roman" w:cs="Times New Roman"/>
                        <w:sz w:val="24"/>
                        <w:szCs w:val="24"/>
                      </w:rPr>
                      <m:t>-n</m:t>
                    </m:r>
                  </m:sup>
                </m:sSup>
                <m:r>
                  <m:rPr>
                    <m:sty m:val="p"/>
                  </m:rPr>
                  <w:rPr>
                    <w:rFonts w:ascii="Cambria Math" w:eastAsiaTheme="minorEastAsia" w:hAnsi="Cambria Math" w:cs="Times New Roman"/>
                    <w:sz w:val="24"/>
                    <w:szCs w:val="24"/>
                  </w:rPr>
                  <m:t xml:space="preserve"> </m:t>
                </m:r>
              </m:oMath>
            </m:oMathPara>
          </w:p>
        </w:tc>
        <w:tc>
          <w:tcPr>
            <w:tcW w:w="4675" w:type="dxa"/>
            <w:vAlign w:val="center"/>
          </w:tcPr>
          <w:p w14:paraId="7190AFA4" w14:textId="77777777" w:rsidR="00D65CBA" w:rsidRPr="009812B5" w:rsidRDefault="00D65CBA" w:rsidP="00AD679A">
            <w:pPr>
              <w:autoSpaceDE w:val="0"/>
              <w:autoSpaceDN w:val="0"/>
              <w:adjustRightInd w:val="0"/>
              <w:spacing w:before="120" w:after="120" w:line="276" w:lineRule="auto"/>
              <w:jc w:val="right"/>
              <w:rPr>
                <w:rFonts w:ascii="Times New Roman" w:eastAsiaTheme="minorEastAsia" w:hAnsi="Times New Roman" w:cs="Times New Roman"/>
                <w:sz w:val="24"/>
                <w:szCs w:val="24"/>
              </w:rPr>
            </w:pPr>
            <w:r w:rsidRPr="009812B5">
              <w:rPr>
                <w:rFonts w:ascii="Times New Roman" w:eastAsiaTheme="minorEastAsia" w:hAnsi="Times New Roman" w:cs="Times New Roman"/>
                <w:sz w:val="24"/>
                <w:szCs w:val="24"/>
              </w:rPr>
              <w:t>(5)</w:t>
            </w:r>
          </w:p>
        </w:tc>
      </w:tr>
    </w:tbl>
    <w:p w14:paraId="167B6EE9" w14:textId="77777777" w:rsidR="00D65CBA" w:rsidRPr="009812B5" w:rsidRDefault="00D65CBA" w:rsidP="00D65CBA">
      <w:pPr>
        <w:spacing w:before="120" w:after="120" w:line="276" w:lineRule="auto"/>
        <w:rPr>
          <w:rFonts w:ascii="Times New Roman" w:eastAsiaTheme="minorEastAsia" w:hAnsi="Times New Roman" w:cs="Times New Roman"/>
          <w:sz w:val="24"/>
          <w:szCs w:val="24"/>
        </w:rPr>
      </w:pPr>
      <w:r w:rsidRPr="009812B5">
        <w:rPr>
          <w:rFonts w:ascii="Times New Roman" w:hAnsi="Times New Roman" w:cs="Times New Roman"/>
          <w:sz w:val="24"/>
          <w:szCs w:val="24"/>
        </w:rPr>
        <w:t>wh</w:t>
      </w:r>
      <w:r w:rsidRPr="006C0A93">
        <w:rPr>
          <w:rFonts w:ascii="Times New Roman" w:hAnsi="Times New Roman" w:cs="Times New Roman"/>
          <w:sz w:val="24"/>
          <w:szCs w:val="24"/>
        </w:rPr>
        <w:t xml:space="preserve">ere </w:t>
      </w:r>
      <m:oMath>
        <m:sSub>
          <m:sSubPr>
            <m:ctrlPr>
              <w:rPr>
                <w:rFonts w:ascii="Cambria Math" w:hAnsi="Cambria Math" w:cs="Times New Roman"/>
                <w:sz w:val="24"/>
                <w:szCs w:val="24"/>
              </w:rPr>
            </m:ctrlPr>
          </m:sSubPr>
          <m:e>
            <m:r>
              <m:rPr>
                <m:nor/>
              </m:rPr>
              <w:rPr>
                <w:rFonts w:ascii="Times New Roman" w:hAnsi="Times New Roman" w:cs="Times New Roman"/>
                <w:sz w:val="24"/>
                <w:szCs w:val="24"/>
              </w:rPr>
              <m:t>Y</m:t>
            </m:r>
          </m:e>
          <m:sub>
            <m:r>
              <m:rPr>
                <m:nor/>
              </m:rPr>
              <w:rPr>
                <w:rFonts w:ascii="Times New Roman" w:hAnsi="Times New Roman" w:cs="Times New Roman"/>
                <w:sz w:val="24"/>
                <w:szCs w:val="24"/>
              </w:rPr>
              <m:t>0</m:t>
            </m:r>
          </m:sub>
        </m:sSub>
      </m:oMath>
      <w:r w:rsidRPr="006C0A93">
        <w:rPr>
          <w:rFonts w:ascii="Times New Roman" w:eastAsiaTheme="minorEastAsia" w:hAnsi="Times New Roman" w:cs="Times New Roman"/>
          <w:sz w:val="24"/>
          <w:szCs w:val="24"/>
        </w:rPr>
        <w:t xml:space="preserve"> is the magni</w:t>
      </w:r>
      <w:r w:rsidRPr="009812B5">
        <w:rPr>
          <w:rFonts w:ascii="Times New Roman" w:eastAsiaTheme="minorEastAsia" w:hAnsi="Times New Roman" w:cs="Times New Roman"/>
          <w:sz w:val="24"/>
          <w:szCs w:val="24"/>
        </w:rPr>
        <w:t xml:space="preserve">tude of the CPE, j is an imaginary number </w:t>
      </w:r>
      <m:oMath>
        <m:sSup>
          <m:sSupPr>
            <m:ctrlPr>
              <w:rPr>
                <w:rFonts w:ascii="Cambria Math" w:eastAsiaTheme="minorEastAsia" w:hAnsi="Cambria Math" w:cs="Times New Roman"/>
                <w:sz w:val="24"/>
                <w:szCs w:val="24"/>
              </w:rPr>
            </m:ctrlPr>
          </m:sSupPr>
          <m:e>
            <m:r>
              <m:rPr>
                <m:nor/>
              </m:rPr>
              <w:rPr>
                <w:rFonts w:ascii="Times New Roman" w:eastAsiaTheme="minorEastAsia" w:hAnsi="Times New Roman" w:cs="Times New Roman"/>
                <w:sz w:val="24"/>
                <w:szCs w:val="24"/>
              </w:rPr>
              <m:t>(j</m:t>
            </m:r>
          </m:e>
          <m:sup>
            <m:r>
              <m:rPr>
                <m:nor/>
              </m:rPr>
              <w:rPr>
                <w:rFonts w:ascii="Times New Roman" w:eastAsiaTheme="minorEastAsia" w:hAnsi="Times New Roman" w:cs="Times New Roman"/>
                <w:sz w:val="24"/>
                <w:szCs w:val="24"/>
              </w:rPr>
              <m:t>2</m:t>
            </m:r>
          </m:sup>
        </m:sSup>
        <m:r>
          <m:rPr>
            <m:nor/>
          </m:rPr>
          <w:rPr>
            <w:rFonts w:ascii="Times New Roman" w:eastAsiaTheme="minorEastAsia" w:hAnsi="Times New Roman" w:cs="Times New Roman"/>
            <w:sz w:val="24"/>
            <w:szCs w:val="24"/>
          </w:rPr>
          <m:t xml:space="preserve"> = -1)</m:t>
        </m:r>
      </m:oMath>
      <w:r w:rsidRPr="009812B5">
        <w:rPr>
          <w:rFonts w:ascii="Times New Roman" w:eastAsiaTheme="minorEastAsia" w:hAnsi="Times New Roman" w:cs="Times New Roman"/>
          <w:sz w:val="24"/>
          <w:szCs w:val="24"/>
        </w:rPr>
        <w:t xml:space="preserve">, </w:t>
      </w:r>
      <m:oMath>
        <m:r>
          <m:rPr>
            <m:nor/>
          </m:rPr>
          <w:rPr>
            <w:rFonts w:ascii="Times New Roman" w:eastAsiaTheme="minorEastAsia" w:hAnsi="Times New Roman" w:cs="Times New Roman"/>
            <w:sz w:val="24"/>
            <w:szCs w:val="24"/>
          </w:rPr>
          <m:t>ω</m:t>
        </m:r>
      </m:oMath>
      <w:r w:rsidRPr="009812B5">
        <w:rPr>
          <w:rFonts w:ascii="Times New Roman" w:eastAsiaTheme="minorEastAsia" w:hAnsi="Times New Roman" w:cs="Times New Roman"/>
          <w:sz w:val="24"/>
          <w:szCs w:val="24"/>
        </w:rPr>
        <w:t xml:space="preserve"> is the angular frequency (=2πƒ) and exponent </w:t>
      </w:r>
      <m:oMath>
        <m:r>
          <w:rPr>
            <w:rFonts w:ascii="Cambria Math" w:eastAsiaTheme="minorEastAsia" w:hAnsi="Cambria Math" w:cs="Times New Roman"/>
            <w:sz w:val="24"/>
            <w:szCs w:val="24"/>
          </w:rPr>
          <m:t>n</m:t>
        </m:r>
      </m:oMath>
      <w:r w:rsidRPr="009812B5">
        <w:rPr>
          <w:rFonts w:ascii="Times New Roman" w:eastAsiaTheme="minorEastAsia" w:hAnsi="Times New Roman" w:cs="Times New Roman"/>
          <w:sz w:val="24"/>
          <w:szCs w:val="24"/>
        </w:rPr>
        <w:t xml:space="preserve"> is the deviation parameter and has values among -1 to 1. Based on the values of </w:t>
      </w:r>
      <m:oMath>
        <m:r>
          <w:rPr>
            <w:rFonts w:ascii="Cambria Math" w:eastAsiaTheme="minorEastAsia" w:hAnsi="Cambria Math" w:cs="Times New Roman"/>
            <w:sz w:val="24"/>
            <w:szCs w:val="24"/>
          </w:rPr>
          <m:t>n</m:t>
        </m:r>
      </m:oMath>
      <w:r w:rsidRPr="009812B5">
        <w:rPr>
          <w:rFonts w:ascii="Times New Roman" w:eastAsiaTheme="minorEastAsia" w:hAnsi="Times New Roman" w:cs="Times New Roman"/>
          <w:sz w:val="24"/>
          <w:szCs w:val="24"/>
        </w:rPr>
        <w:t>, the CPE can represent: inductance (</w:t>
      </w:r>
      <w:r>
        <w:rPr>
          <w:rFonts w:ascii="Times New Roman" w:eastAsiaTheme="minorEastAsia" w:hAnsi="Times New Roman" w:cs="Times New Roman"/>
          <w:sz w:val="24"/>
          <w:szCs w:val="24"/>
        </w:rPr>
        <w:t>n</w:t>
      </w:r>
      <w:r w:rsidRPr="009812B5">
        <w:rPr>
          <w:rFonts w:ascii="Times New Roman" w:eastAsiaTheme="minorEastAsia" w:hAnsi="Times New Roman" w:cs="Times New Roman"/>
          <w:sz w:val="24"/>
          <w:szCs w:val="24"/>
        </w:rPr>
        <w:t xml:space="preserve"> = -1), resistance (</w:t>
      </w:r>
      <w:r>
        <w:rPr>
          <w:rFonts w:ascii="Times New Roman" w:eastAsiaTheme="minorEastAsia" w:hAnsi="Times New Roman" w:cs="Times New Roman"/>
          <w:sz w:val="24"/>
          <w:szCs w:val="24"/>
        </w:rPr>
        <w:t xml:space="preserve">n </w:t>
      </w:r>
      <w:r w:rsidRPr="009812B5">
        <w:rPr>
          <w:rFonts w:ascii="Times New Roman" w:eastAsiaTheme="minorEastAsia" w:hAnsi="Times New Roman" w:cs="Times New Roman"/>
          <w:sz w:val="24"/>
          <w:szCs w:val="24"/>
        </w:rPr>
        <w:t>= 0), Warburg impedance (</w:t>
      </w:r>
      <w:r>
        <w:rPr>
          <w:rFonts w:ascii="Times New Roman" w:eastAsiaTheme="minorEastAsia" w:hAnsi="Times New Roman" w:cs="Times New Roman"/>
          <w:sz w:val="24"/>
          <w:szCs w:val="24"/>
        </w:rPr>
        <w:t>n</w:t>
      </w:r>
      <w:r w:rsidRPr="009812B5">
        <w:rPr>
          <w:rFonts w:ascii="Times New Roman" w:eastAsiaTheme="minorEastAsia" w:hAnsi="Times New Roman" w:cs="Times New Roman"/>
          <w:sz w:val="24"/>
          <w:szCs w:val="24"/>
        </w:rPr>
        <w:t xml:space="preserve"> = 0.5) ,and capacitance (</w:t>
      </w:r>
      <w:r>
        <w:rPr>
          <w:rFonts w:ascii="Times New Roman" w:eastAsiaTheme="minorEastAsia" w:hAnsi="Times New Roman" w:cs="Times New Roman"/>
          <w:sz w:val="24"/>
          <w:szCs w:val="24"/>
        </w:rPr>
        <w:t>n</w:t>
      </w:r>
      <w:r w:rsidRPr="009812B5">
        <w:rPr>
          <w:rFonts w:ascii="Times New Roman" w:eastAsiaTheme="minorEastAsia" w:hAnsi="Times New Roman" w:cs="Times New Roman"/>
          <w:sz w:val="24"/>
          <w:szCs w:val="24"/>
        </w:rPr>
        <w:t xml:space="preserve"> = 1); n is a measure of surface irregularity </w:t>
      </w:r>
      <w:r w:rsidRPr="009812B5">
        <w:rPr>
          <w:rFonts w:ascii="Times New Roman" w:eastAsiaTheme="minorEastAsia" w:hAnsi="Times New Roman" w:cs="Times New Roman"/>
          <w:sz w:val="24"/>
          <w:szCs w:val="24"/>
        </w:rPr>
        <w:fldChar w:fldCharType="begin"/>
      </w:r>
      <w:r w:rsidRPr="009812B5">
        <w:rPr>
          <w:rFonts w:ascii="Times New Roman" w:eastAsiaTheme="minorEastAsia" w:hAnsi="Times New Roman" w:cs="Times New Roman"/>
          <w:sz w:val="24"/>
          <w:szCs w:val="24"/>
        </w:rPr>
        <w:instrText xml:space="preserve"> ADDIN ZOTERO_ITEM CSL_CITATION {"citationID":"1jL0Gszo","properties":{"formattedCitation":"(Farag et al., 2018)","plainCitation":"(Farag et al., 2018)","noteIndex":0},"citationItems":[{"id":24,"uris":["http://zotero.org/users/13853408/items/ILQSWSP7"],"itemData":{"id":24,"type":"article-journal","abstract":"Recovery shrimp waste protein (RSWP) was extracted, characterized and tested their inhibition effects as a corrosion inhibitor for carbon steel in 1 M HCl solution using different electrochemical techniques. The results have been shown that the corrosion rate decreases with increasing inhibitor concentration. To verify the morphology of RSWP ﬁlm formed on the carbon steel surface, scanning electron microscopy (SEM) was used. The inhibition mechanism of the extracted RSWP is discussed in terms of adsorption on the carbon steel surface. The results of the energy adsorption were showed chemisorption effect for RSWP on the carbon steel surface.","container-title":"Egyptian Journal of Petroleum","DOI":"10.1016/j.ejpe.2018.05.001","ISSN":"11100621","issue":"4","journalAbbreviation":"Egyptian Journal of Petroleum","language":"en","page":"1187-1194","source":"DOI.org (Crossref)","title":"Environmental-friendly shrimp waste protein corrosion inhibitor for carbon steel in 1 M HCl solution","volume":"27","author":[{"family":"Farag","given":"Ahmed A."},{"family":"Ismail","given":"Amr S."},{"family":"Migahed","given":"M.A."}],"issued":{"date-parts":[["2018",12]]}}}],"schema":"https://github.com/citation-style-language/schema/raw/master/csl-citation.json"} </w:instrText>
      </w:r>
      <w:r w:rsidRPr="009812B5">
        <w:rPr>
          <w:rFonts w:ascii="Times New Roman" w:eastAsiaTheme="minorEastAsia" w:hAnsi="Times New Roman" w:cs="Times New Roman"/>
          <w:sz w:val="24"/>
          <w:szCs w:val="24"/>
        </w:rPr>
        <w:fldChar w:fldCharType="separate"/>
      </w:r>
      <w:r w:rsidRPr="009812B5">
        <w:rPr>
          <w:rFonts w:ascii="Times New Roman" w:hAnsi="Times New Roman" w:cs="Times New Roman"/>
          <w:sz w:val="24"/>
          <w:szCs w:val="24"/>
        </w:rPr>
        <w:t>(Farag et al., 2018)</w:t>
      </w:r>
      <w:r w:rsidRPr="009812B5">
        <w:rPr>
          <w:rFonts w:ascii="Times New Roman" w:eastAsiaTheme="minorEastAsia" w:hAnsi="Times New Roman" w:cs="Times New Roman"/>
          <w:sz w:val="24"/>
          <w:szCs w:val="24"/>
        </w:rPr>
        <w:fldChar w:fldCharType="end"/>
      </w:r>
      <w:r w:rsidRPr="009812B5">
        <w:rPr>
          <w:rFonts w:ascii="Times New Roman" w:eastAsiaTheme="minorEastAsia" w:hAnsi="Times New Roman" w:cs="Times New Roman"/>
          <w:sz w:val="24"/>
          <w:szCs w:val="24"/>
        </w:rPr>
        <w:t>. The double layer capacitance (</w:t>
      </w:r>
      <m:oMath>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C</m:t>
            </m:r>
          </m:e>
          <m:sub>
            <m:r>
              <m:rPr>
                <m:nor/>
              </m:rPr>
              <w:rPr>
                <w:rFonts w:ascii="Times New Roman" w:eastAsiaTheme="minorEastAsia" w:hAnsi="Times New Roman" w:cs="Times New Roman"/>
                <w:sz w:val="24"/>
                <w:szCs w:val="24"/>
              </w:rPr>
              <m:t>dl</m:t>
            </m:r>
          </m:sub>
        </m:sSub>
        <m:r>
          <m:rPr>
            <m:sty m:val="p"/>
          </m:rPr>
          <w:rPr>
            <w:rFonts w:ascii="Cambria Math" w:eastAsiaTheme="minorEastAsia" w:hAnsi="Cambria Math" w:cs="Times New Roman"/>
            <w:sz w:val="24"/>
            <w:szCs w:val="24"/>
          </w:rPr>
          <m:t>)</m:t>
        </m:r>
      </m:oMath>
      <w:r w:rsidRPr="009812B5">
        <w:rPr>
          <w:rFonts w:ascii="Times New Roman" w:eastAsiaTheme="minorEastAsia" w:hAnsi="Times New Roman" w:cs="Times New Roman"/>
          <w:sz w:val="24"/>
          <w:szCs w:val="24"/>
        </w:rPr>
        <w:t xml:space="preserve"> can be obtained by equation: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65CBA" w:rsidRPr="009812B5" w14:paraId="5CE75DFA" w14:textId="77777777" w:rsidTr="00AD679A">
        <w:tc>
          <w:tcPr>
            <w:tcW w:w="4675" w:type="dxa"/>
            <w:vAlign w:val="center"/>
          </w:tcPr>
          <w:p w14:paraId="185A8ECE" w14:textId="77777777" w:rsidR="00D65CBA" w:rsidRPr="006C0A93" w:rsidRDefault="00000000" w:rsidP="00AD679A">
            <w:pPr>
              <w:autoSpaceDE w:val="0"/>
              <w:autoSpaceDN w:val="0"/>
              <w:adjustRightInd w:val="0"/>
              <w:spacing w:before="120" w:after="120" w:line="276" w:lineRule="auto"/>
              <w:rPr>
                <w:rFonts w:ascii="Times New Roman" w:eastAsiaTheme="minorEastAsia" w:hAnsi="Times New Roman" w:cs="Times New Roman"/>
                <w:sz w:val="24"/>
                <w:szCs w:val="24"/>
                <w:highlight w:val="magenta"/>
              </w:rPr>
            </w:pPr>
            <m:oMathPara>
              <m:oMathParaPr>
                <m:jc m:val="left"/>
              </m:oMathParaPr>
              <m:oMath>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C</m:t>
                    </m:r>
                  </m:e>
                  <m:sub>
                    <m:r>
                      <m:rPr>
                        <m:nor/>
                      </m:rPr>
                      <w:rPr>
                        <w:rFonts w:ascii="Times New Roman" w:eastAsiaTheme="minorEastAsia" w:hAnsi="Times New Roman" w:cs="Times New Roman"/>
                        <w:sz w:val="24"/>
                        <w:szCs w:val="24"/>
                      </w:rPr>
                      <m:t>dl</m:t>
                    </m:r>
                  </m:sub>
                </m:sSub>
                <m:r>
                  <m:rPr>
                    <m:nor/>
                  </m:rPr>
                  <w:rPr>
                    <w:rFonts w:ascii="Times New Roman" w:eastAsiaTheme="minorEastAsia" w:hAnsi="Times New Roman" w:cs="Times New Roman"/>
                    <w:sz w:val="24"/>
                    <w:szCs w:val="24"/>
                  </w:rPr>
                  <m:t>=</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Y</m:t>
                    </m:r>
                  </m:e>
                  <m:sub>
                    <m:r>
                      <m:rPr>
                        <m:nor/>
                      </m:rPr>
                      <w:rPr>
                        <w:rFonts w:ascii="Times New Roman" w:eastAsiaTheme="minorEastAsia" w:hAnsi="Times New Roman" w:cs="Times New Roman"/>
                        <w:sz w:val="24"/>
                        <w:szCs w:val="24"/>
                      </w:rPr>
                      <m:t>0</m:t>
                    </m:r>
                  </m:sub>
                </m:sSub>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ω</m:t>
                        </m:r>
                      </m:e>
                      <m:sub>
                        <m:r>
                          <m:rPr>
                            <m:nor/>
                          </m:rPr>
                          <w:rPr>
                            <w:rFonts w:ascii="Times New Roman" w:eastAsiaTheme="minorEastAsia" w:hAnsi="Times New Roman" w:cs="Times New Roman"/>
                            <w:sz w:val="24"/>
                            <w:szCs w:val="24"/>
                          </w:rPr>
                          <m:t>max</m:t>
                        </m:r>
                      </m:sub>
                    </m:sSub>
                    <m:r>
                      <m:rPr>
                        <m:nor/>
                      </m:rPr>
                      <w:rPr>
                        <w:rFonts w:ascii="Times New Roman" w:eastAsiaTheme="minorEastAsia" w:hAnsi="Times New Roman" w:cs="Times New Roman"/>
                        <w:sz w:val="24"/>
                        <w:szCs w:val="24"/>
                      </w:rPr>
                      <m:t>)</m:t>
                    </m:r>
                  </m:e>
                  <m:sup>
                    <m:r>
                      <m:rPr>
                        <m:nor/>
                      </m:rPr>
                      <w:rPr>
                        <w:rFonts w:ascii="Times New Roman" w:eastAsiaTheme="minorEastAsia" w:hAnsi="Times New Roman" w:cs="Times New Roman"/>
                        <w:sz w:val="24"/>
                        <w:szCs w:val="24"/>
                      </w:rPr>
                      <m:t>n-1</m:t>
                    </m:r>
                  </m:sup>
                </m:sSup>
                <m:r>
                  <m:rPr>
                    <m:nor/>
                  </m:rPr>
                  <w:rPr>
                    <w:rFonts w:ascii="Times New Roman" w:eastAsiaTheme="minorEastAsia" w:hAnsi="Times New Roman" w:cs="Times New Roman"/>
                    <w:sz w:val="24"/>
                    <w:szCs w:val="24"/>
                  </w:rPr>
                  <m:t xml:space="preserve">= </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Y</m:t>
                    </m:r>
                  </m:e>
                  <m:sub>
                    <m:r>
                      <m:rPr>
                        <m:nor/>
                      </m:rPr>
                      <w:rPr>
                        <w:rFonts w:ascii="Times New Roman" w:eastAsiaTheme="minorEastAsia" w:hAnsi="Times New Roman" w:cs="Times New Roman"/>
                        <w:sz w:val="24"/>
                        <w:szCs w:val="24"/>
                      </w:rPr>
                      <m:t>0</m:t>
                    </m:r>
                  </m:sub>
                </m:sSub>
                <m:sSup>
                  <m:sSupPr>
                    <m:ctrlPr>
                      <w:rPr>
                        <w:rFonts w:ascii="Cambria Math" w:eastAsiaTheme="minorEastAsia" w:hAnsi="Cambria Math" w:cs="Times New Roman"/>
                        <w:i/>
                        <w:sz w:val="24"/>
                        <w:szCs w:val="24"/>
                      </w:rPr>
                    </m:ctrlPr>
                  </m:sSupPr>
                  <m:e>
                    <m:r>
                      <m:rPr>
                        <m:nor/>
                      </m:rPr>
                      <w:rPr>
                        <w:rFonts w:ascii="Times New Roman" w:eastAsiaTheme="minorEastAsia" w:hAnsi="Times New Roman" w:cs="Times New Roman"/>
                        <w:sz w:val="24"/>
                        <w:szCs w:val="24"/>
                      </w:rPr>
                      <m:t>(2π</m:t>
                    </m:r>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ƒ</m:t>
                        </m:r>
                      </m:e>
                      <m:sub>
                        <m:sSub>
                          <m:sSubPr>
                            <m:ctrlPr>
                              <w:rPr>
                                <w:rFonts w:ascii="Cambria Math" w:eastAsiaTheme="minorEastAsia" w:hAnsi="Cambria Math" w:cs="Times New Roman"/>
                                <w:i/>
                                <w:sz w:val="24"/>
                                <w:szCs w:val="24"/>
                              </w:rPr>
                            </m:ctrlPr>
                          </m:sSubPr>
                          <m:e>
                            <m:r>
                              <m:rPr>
                                <m:nor/>
                              </m:rPr>
                              <w:rPr>
                                <w:rFonts w:ascii="Times New Roman" w:eastAsiaTheme="minorEastAsia" w:hAnsi="Times New Roman" w:cs="Times New Roman"/>
                                <w:sz w:val="24"/>
                                <w:szCs w:val="24"/>
                              </w:rPr>
                              <m:t>Z</m:t>
                            </m:r>
                          </m:e>
                          <m:sub>
                            <m:r>
                              <m:rPr>
                                <m:nor/>
                              </m:rPr>
                              <w:rPr>
                                <w:rFonts w:ascii="Times New Roman" w:eastAsiaTheme="minorEastAsia" w:hAnsi="Times New Roman" w:cs="Times New Roman"/>
                                <w:sz w:val="24"/>
                                <w:szCs w:val="24"/>
                              </w:rPr>
                              <m:t>im-max</m:t>
                            </m:r>
                          </m:sub>
                        </m:sSub>
                      </m:sub>
                    </m:sSub>
                    <m:r>
                      <m:rPr>
                        <m:nor/>
                      </m:rPr>
                      <w:rPr>
                        <w:rFonts w:ascii="Times New Roman" w:eastAsiaTheme="minorEastAsia" w:hAnsi="Times New Roman" w:cs="Times New Roman"/>
                        <w:sz w:val="24"/>
                        <w:szCs w:val="24"/>
                      </w:rPr>
                      <m:t>)</m:t>
                    </m:r>
                  </m:e>
                  <m:sup>
                    <m:r>
                      <m:rPr>
                        <m:nor/>
                      </m:rPr>
                      <w:rPr>
                        <w:rFonts w:ascii="Times New Roman" w:eastAsiaTheme="minorEastAsia" w:hAnsi="Times New Roman" w:cs="Times New Roman"/>
                        <w:sz w:val="24"/>
                        <w:szCs w:val="24"/>
                      </w:rPr>
                      <m:t>n-1</m:t>
                    </m:r>
                  </m:sup>
                </m:sSup>
              </m:oMath>
            </m:oMathPara>
          </w:p>
        </w:tc>
        <w:tc>
          <w:tcPr>
            <w:tcW w:w="4675" w:type="dxa"/>
            <w:vAlign w:val="center"/>
          </w:tcPr>
          <w:p w14:paraId="6525241D" w14:textId="77777777" w:rsidR="00D65CBA" w:rsidRPr="009812B5" w:rsidRDefault="00D65CBA" w:rsidP="00AD679A">
            <w:pPr>
              <w:autoSpaceDE w:val="0"/>
              <w:autoSpaceDN w:val="0"/>
              <w:adjustRightInd w:val="0"/>
              <w:spacing w:before="120" w:after="120" w:line="276" w:lineRule="auto"/>
              <w:jc w:val="right"/>
              <w:rPr>
                <w:rFonts w:ascii="Times New Roman" w:eastAsiaTheme="minorEastAsia" w:hAnsi="Times New Roman" w:cs="Times New Roman"/>
                <w:sz w:val="24"/>
                <w:szCs w:val="24"/>
              </w:rPr>
            </w:pPr>
            <w:r w:rsidRPr="009812B5">
              <w:rPr>
                <w:rFonts w:ascii="Times New Roman" w:eastAsiaTheme="minorEastAsia" w:hAnsi="Times New Roman" w:cs="Times New Roman"/>
                <w:sz w:val="24"/>
                <w:szCs w:val="24"/>
              </w:rPr>
              <w:t>(6)</w:t>
            </w:r>
          </w:p>
        </w:tc>
      </w:tr>
    </w:tbl>
    <w:p w14:paraId="330D19CF" w14:textId="77777777" w:rsidR="00D65CBA" w:rsidRDefault="00D65CBA" w:rsidP="00D65CBA">
      <w:pPr>
        <w:spacing w:before="120" w:after="120" w:line="276" w:lineRule="auto"/>
        <w:rPr>
          <w:rFonts w:ascii="Times New Roman" w:eastAsiaTheme="minorEastAsia" w:hAnsi="Times New Roman" w:cs="Times New Roman"/>
          <w:sz w:val="24"/>
          <w:szCs w:val="24"/>
        </w:rPr>
      </w:pPr>
      <w:r w:rsidRPr="009812B5">
        <w:rPr>
          <w:rFonts w:ascii="Times New Roman" w:hAnsi="Times New Roman" w:cs="Times New Roman"/>
          <w:sz w:val="24"/>
          <w:szCs w:val="24"/>
        </w:rPr>
        <w:t xml:space="preserve">where </w:t>
      </w:r>
      <m:oMath>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ω</m:t>
            </m:r>
          </m:e>
          <m:sub>
            <m:r>
              <m:rPr>
                <m:nor/>
              </m:rPr>
              <w:rPr>
                <w:rFonts w:ascii="Times New Roman" w:eastAsiaTheme="minorEastAsia" w:hAnsi="Times New Roman" w:cs="Times New Roman"/>
                <w:sz w:val="24"/>
                <w:szCs w:val="24"/>
              </w:rPr>
              <m:t>max</m:t>
            </m:r>
          </m:sub>
        </m:sSub>
      </m:oMath>
      <w:r w:rsidRPr="009812B5">
        <w:rPr>
          <w:rFonts w:ascii="Times New Roman" w:eastAsiaTheme="minorEastAsia" w:hAnsi="Times New Roman" w:cs="Times New Roman"/>
          <w:sz w:val="24"/>
          <w:szCs w:val="24"/>
        </w:rPr>
        <w:t xml:space="preserve"> is the frequency at which the imaginary impedance has the highest value.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5CBA" w:rsidRPr="009812B5" w14:paraId="65B34B58" w14:textId="77777777" w:rsidTr="00AD679A">
        <w:tc>
          <w:tcPr>
            <w:tcW w:w="9350" w:type="dxa"/>
            <w:vAlign w:val="center"/>
          </w:tcPr>
          <w:p w14:paraId="18A3F9CF" w14:textId="77777777" w:rsidR="00D65CBA" w:rsidRPr="009812B5" w:rsidRDefault="00D65CBA" w:rsidP="00AD679A">
            <w:pPr>
              <w:pStyle w:val="NormalWeb"/>
              <w:keepNext/>
              <w:spacing w:before="120" w:beforeAutospacing="0" w:after="120" w:afterAutospacing="0" w:line="276" w:lineRule="auto"/>
              <w:jc w:val="center"/>
            </w:pPr>
            <w:r w:rsidRPr="009812B5">
              <w:rPr>
                <w:noProof/>
              </w:rPr>
              <w:drawing>
                <wp:inline distT="0" distB="0" distL="0" distR="0" wp14:anchorId="5F4E2BBA" wp14:editId="54F07A6D">
                  <wp:extent cx="2169160" cy="1421176"/>
                  <wp:effectExtent l="0" t="0" r="2540" b="7620"/>
                  <wp:docPr id="529209758" name="Picture 3" descr="A diagram of a circ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9209758" name="Picture 3" descr="A diagram of a circuit&#10;&#10;Description automatically generated"/>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4359"/>
                          <a:stretch/>
                        </pic:blipFill>
                        <pic:spPr bwMode="auto">
                          <a:xfrm>
                            <a:off x="0" y="0"/>
                            <a:ext cx="2188977" cy="1434159"/>
                          </a:xfrm>
                          <a:prstGeom prst="rect">
                            <a:avLst/>
                          </a:prstGeom>
                          <a:noFill/>
                          <a:ln>
                            <a:noFill/>
                          </a:ln>
                          <a:extLst>
                            <a:ext uri="{53640926-AAD7-44D8-BBD7-CCE9431645EC}">
                              <a14:shadowObscured xmlns:a14="http://schemas.microsoft.com/office/drawing/2010/main"/>
                            </a:ext>
                          </a:extLst>
                        </pic:spPr>
                      </pic:pic>
                    </a:graphicData>
                  </a:graphic>
                </wp:inline>
              </w:drawing>
            </w:r>
          </w:p>
        </w:tc>
      </w:tr>
    </w:tbl>
    <w:p w14:paraId="2A5E644F" w14:textId="77777777" w:rsidR="00D65CBA" w:rsidRPr="00082B48" w:rsidRDefault="00D65CBA" w:rsidP="00D65CBA">
      <w:pPr>
        <w:pStyle w:val="Caption"/>
        <w:rPr>
          <w:rFonts w:ascii="Times New Roman" w:hAnsi="Times New Roman" w:cs="Times New Roman"/>
          <w:i w:val="0"/>
          <w:iCs w:val="0"/>
          <w:color w:val="auto"/>
          <w:sz w:val="24"/>
          <w:szCs w:val="24"/>
        </w:rPr>
      </w:pPr>
      <w:bookmarkStart w:id="5" w:name="_Ref161952501"/>
      <w:r w:rsidRPr="00082B48">
        <w:rPr>
          <w:rFonts w:ascii="Times New Roman" w:hAnsi="Times New Roman" w:cs="Times New Roman"/>
          <w:b/>
          <w:bCs/>
          <w:i w:val="0"/>
          <w:iCs w:val="0"/>
          <w:color w:val="auto"/>
          <w:sz w:val="24"/>
          <w:szCs w:val="24"/>
        </w:rPr>
        <w:t xml:space="preserve">Figure </w:t>
      </w:r>
      <w:r w:rsidRPr="00082B48">
        <w:rPr>
          <w:rFonts w:ascii="Times New Roman" w:hAnsi="Times New Roman" w:cs="Times New Roman"/>
          <w:b/>
          <w:bCs/>
          <w:i w:val="0"/>
          <w:iCs w:val="0"/>
          <w:color w:val="auto"/>
          <w:sz w:val="24"/>
          <w:szCs w:val="24"/>
        </w:rPr>
        <w:fldChar w:fldCharType="begin"/>
      </w:r>
      <w:r w:rsidRPr="00082B48">
        <w:rPr>
          <w:rFonts w:ascii="Times New Roman" w:hAnsi="Times New Roman" w:cs="Times New Roman"/>
          <w:b/>
          <w:bCs/>
          <w:i w:val="0"/>
          <w:iCs w:val="0"/>
          <w:color w:val="auto"/>
          <w:sz w:val="24"/>
          <w:szCs w:val="24"/>
        </w:rPr>
        <w:instrText xml:space="preserve"> SEQ Figure \* ARABIC </w:instrText>
      </w:r>
      <w:r w:rsidRPr="00082B4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5</w:t>
      </w:r>
      <w:r w:rsidRPr="00082B48">
        <w:rPr>
          <w:rFonts w:ascii="Times New Roman" w:hAnsi="Times New Roman" w:cs="Times New Roman"/>
          <w:b/>
          <w:bCs/>
          <w:i w:val="0"/>
          <w:iCs w:val="0"/>
          <w:color w:val="auto"/>
          <w:sz w:val="24"/>
          <w:szCs w:val="24"/>
        </w:rPr>
        <w:fldChar w:fldCharType="end"/>
      </w:r>
      <w:bookmarkEnd w:id="5"/>
      <w:r w:rsidRPr="00082B48">
        <w:rPr>
          <w:rFonts w:ascii="Times New Roman" w:hAnsi="Times New Roman" w:cs="Times New Roman"/>
          <w:b/>
          <w:bCs/>
          <w:i w:val="0"/>
          <w:iCs w:val="0"/>
          <w:color w:val="auto"/>
          <w:sz w:val="24"/>
          <w:szCs w:val="24"/>
        </w:rPr>
        <w:t>:</w:t>
      </w:r>
      <w:r w:rsidRPr="00082B48">
        <w:rPr>
          <w:rFonts w:ascii="Times New Roman" w:hAnsi="Times New Roman" w:cs="Times New Roman"/>
          <w:i w:val="0"/>
          <w:iCs w:val="0"/>
          <w:color w:val="auto"/>
          <w:sz w:val="24"/>
          <w:szCs w:val="24"/>
        </w:rPr>
        <w:t xml:space="preserve"> Electrochemical equivalent circuit used to fit the impedance spectra.</w:t>
      </w:r>
    </w:p>
    <w:p w14:paraId="023AEF6A" w14:textId="77777777" w:rsidR="00D65CBA"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From Table 2, it was observed that there was significant enhancement in the change of R</w:t>
      </w:r>
      <w:r w:rsidRPr="009812B5">
        <w:rPr>
          <w:rFonts w:ascii="Times New Roman" w:hAnsi="Times New Roman" w:cs="Times New Roman"/>
          <w:sz w:val="24"/>
          <w:szCs w:val="24"/>
          <w:vertAlign w:val="subscript"/>
        </w:rPr>
        <w:t>ct</w:t>
      </w:r>
      <w:r w:rsidRPr="009812B5">
        <w:rPr>
          <w:rFonts w:ascii="Times New Roman" w:hAnsi="Times New Roman" w:cs="Times New Roman"/>
          <w:sz w:val="24"/>
          <w:szCs w:val="24"/>
        </w:rPr>
        <w:t xml:space="preserve"> when L-Methionine and L-Arginine were added to the acid solution. An increase in the R</w:t>
      </w:r>
      <w:r w:rsidRPr="009812B5">
        <w:rPr>
          <w:rFonts w:ascii="Times New Roman" w:hAnsi="Times New Roman" w:cs="Times New Roman"/>
          <w:sz w:val="24"/>
          <w:szCs w:val="24"/>
          <w:vertAlign w:val="subscript"/>
        </w:rPr>
        <w:t>ct</w:t>
      </w:r>
      <w:r w:rsidRPr="009812B5">
        <w:rPr>
          <w:rFonts w:ascii="Times New Roman" w:hAnsi="Times New Roman" w:cs="Times New Roman"/>
          <w:sz w:val="24"/>
          <w:szCs w:val="24"/>
        </w:rPr>
        <w:t xml:space="preserve"> manifests the formation of a protective layer on the metal surface, which provides higher resistance toward charge transfer reactions occurring at the metal-electrolyte interface region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{"citationID":"oAaD9sPZ","properties":{"formattedCitation":"(Satpati et al., 2020)","plainCitation":"(Satpati et al., 2020)","noteIndex":0},"citationItems":[{"id":28,"uris":["http://zotero.org/users/13853408/items/5QDIT4VV"],"itemData":{"id":28,"type":"article-journal","abstract":"Two Schiff base derivatives of vanillin and divanillin with 2-picolylamine are synthesized and their anti-corrosive propensity for mild steel in aqueous HCl are compared.\n          , \n            \n              Herein, two Schiff base derivatives of vanillin and divanillin with 2-picolylamine, namely, 2-methoxy-4-((pyridin-2-ylmethylimino)methyl)phenol (compound\n              A\n              ) and 3,3′-dimethoxy-5,5′-bis-((pyridin-2-ylmethylimino)methyl)-[1,1′-biphenyl]-2,2′-diol (compound\n              B\n              ), respectively, were synthesized. Additionally, their adsorption characteristics and corrosion inhibition behavior were compared for mild steel in 1 M HCl using electrochemical impedance spectroscopy, potentiodynamic polarization and weight loss methods. Compound\n              B\n              was found to impart a better anti-corrosive effect (around 95% inhibition efficiency at 313 K) than compound\n              A\n              . The inhibitors act as effective mixed-type inhibitors and exhibit Langmuir-type adsorption behaviour. The kinetic–thermodynamic parameters together with the data obtained from density functional theory (DFT) and molecular dynamics (MD) simulations illustrate the mechanism of corrosion and mode of adsorption of both inhibitors on the metal surface. The better corrosion mitigation propensity of the dimeric form of the inhibitor (compound\n              B\n              ) over the monomeric form (compound\n              A\n              ) was tested experimentally and explained according to the theoretical data.","container-title":"RSC Advances","DOI":"10.1039/C9RA07982C","ISSN":"2046-2069","issue":"16","journalAbbreviation":"RSC Adv.","language":"en","page":"9258-9273","source":"DOI.org (Crossref)","title":"Adsorption and anti-corrosion characteristics of vanillin Schiff bases on mild steel in 1 M HCl: experimental and theoretical study","title-short":"Adsorption and anti-corrosion characteristics of vanillin Schiff bases on mild steel in 1 M HCl","volume":"10","author":[{"family":"Satpati","given":"Sanjoy"},{"family":"Saha","given":"Sourav Kr."},{"family":"Suhasaria","given":"Aditya"},{"family":"Banerjee","given":"Priyabrata"},{"family":"Sukul","given":"Dipankar"}],"issued":{"date-parts":[["2020"]]}}}],"schema":"https://github.com/citation-style-language/schema/raw/master/csl-citation.json"}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(Satpati et al., 2020)</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The obtained R</w:t>
      </w:r>
      <w:r w:rsidRPr="009812B5">
        <w:rPr>
          <w:rFonts w:ascii="Times New Roman" w:hAnsi="Times New Roman" w:cs="Times New Roman"/>
          <w:sz w:val="24"/>
          <w:szCs w:val="24"/>
          <w:vertAlign w:val="subscript"/>
        </w:rPr>
        <w:t>ct</w:t>
      </w:r>
      <w:r w:rsidRPr="009812B5">
        <w:rPr>
          <w:rFonts w:ascii="Times New Roman" w:hAnsi="Times New Roman" w:cs="Times New Roman"/>
          <w:sz w:val="24"/>
          <w:szCs w:val="24"/>
        </w:rPr>
        <w:t xml:space="preserve"> allowed to calculate their efficiency in terms of inhibition of corrosion. Both Methionine and Arginine showed positive effects for corrosion inhibition. Furthermore, decrease in double-layer capacitance (C</w:t>
      </w:r>
      <w:r w:rsidRPr="009812B5">
        <w:rPr>
          <w:rFonts w:ascii="Times New Roman" w:hAnsi="Times New Roman" w:cs="Times New Roman"/>
          <w:sz w:val="24"/>
          <w:szCs w:val="24"/>
          <w:vertAlign w:val="subscript"/>
        </w:rPr>
        <w:t>dl</w:t>
      </w:r>
      <w:r w:rsidRPr="009812B5">
        <w:rPr>
          <w:rFonts w:ascii="Times New Roman" w:hAnsi="Times New Roman" w:cs="Times New Roman"/>
          <w:sz w:val="24"/>
          <w:szCs w:val="24"/>
        </w:rPr>
        <w:t xml:space="preserve">) with inhibitor concentration can be explained in terms of the adsorption of inhibitor molecules on the metal surface by replacing pre-adsorbed water molecules, thus increasing the thickness of the inhibitive layer. Those inhibitors have the potential of efficient resistive layer formation, and thereby provide higher resistance to the electrochemical corrosion reaction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{"citationID":"D50cljO0","properties":{"formattedCitation":"(Amin et al., 2010)","plainCitation":"(Amin et al., 2010)","noteIndex":0},"citationItems":[{"id":30,"uris":["http://zotero.org/users/13853408/items/VYJZA5NJ"],"itemData":{"id":30,"type":"article-journal","abstract":"The performance of three selected amino acids, namely alanine (Ala), cysteine (Cys) and S-methyl cysteine (S-MCys) as safe corrosion inhibitors for iron in aerated stagnant 1.0 M HCl solutions was evaluated by Tafel polarization and impedance measurements. Results indicate that Ala acts mainly as a cathodic inhibitor, while Cys and S-MCys function as mixed-type inhibitors. Cys, which contains a mercapto group in its molecular structure, was the most effective among the inhibitors tested, while Ala was less effective than S-MCys. The low inhibition efﬁciency recorded for S-MCys compared with that of Cys was attributed to steric effects caused by the substituent methyl on the mercapto group. Electrochemical frequency modulation (EFM) technique and inductively coupled plasma atomic emission spectrometry (ICP-AES), were also applied to make accurate determination of corrosion rates. Validation of the Tafel extrapolation method for measuring corrosion rates was tested. Rates of corrosion rates (in lm yÀ1) obtained from Tafel extrapolation method are in good agreement with those measured using EFM and ICP methods. Some theoretical studies, including molecular dynamics (MD) and density functional theory (DFT), were also employed to establish the correlation between the structure (molecular and electronic) of the three tested inhibitors and the inhibition efﬁciency. Adsorption via hydrogen bonding was discussed here based on some theoretical studies. Experimental and theoretical results were in good agreement.","container-title":"Corrosion Science","DOI":"10.1016/j.corsci.2010.01.019","ISSN":"0010938X","issue":"5","journalAbbreviation":"Corrosion Science","language":"en","page":"1684-1695","source":"DOI.org (Crossref)","title":"A study of the inhibition of iron corrosion in HCl solutions by some amino acids","volume":"52","author":[{"family":"Amin","given":"Mohammed A."},{"family":"Khaled","given":"K.F."},{"family":"Mohsen","given":"Q."},{"family":"Arida","given":"H.A."}],"issued":{"date-parts":[["2010",5]]}}}],"schema":"https://github.com/citation-style-language/schema/raw/master/csl-citation.json"}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(Amin et al., 2010)</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w:t>
      </w:r>
    </w:p>
    <w:p w14:paraId="29FF5847" w14:textId="77777777" w:rsidR="00D65CBA" w:rsidRPr="009812B5" w:rsidRDefault="00D65CBA" w:rsidP="00D65CBA">
      <w:pPr>
        <w:spacing w:before="120" w:after="120" w:line="276" w:lineRule="auto"/>
        <w:rPr>
          <w:rFonts w:ascii="Times New Roman" w:eastAsiaTheme="minorEastAsia" w:hAnsi="Times New Roman" w:cs="Times New Roman"/>
          <w:sz w:val="24"/>
          <w:szCs w:val="24"/>
        </w:rPr>
      </w:pPr>
    </w:p>
    <w:p w14:paraId="43EA5A10" w14:textId="77777777" w:rsidR="00D65CBA" w:rsidRPr="00082B48" w:rsidRDefault="00D65CBA" w:rsidP="00D65CBA">
      <w:pPr>
        <w:pStyle w:val="Caption"/>
        <w:keepNext/>
        <w:rPr>
          <w:rFonts w:ascii="Times New Roman" w:hAnsi="Times New Roman" w:cs="Times New Roman"/>
          <w:i w:val="0"/>
          <w:iCs w:val="0"/>
          <w:color w:val="auto"/>
          <w:sz w:val="24"/>
          <w:szCs w:val="24"/>
        </w:rPr>
      </w:pPr>
      <w:bookmarkStart w:id="6" w:name="_Ref161952458"/>
      <w:r w:rsidRPr="00082B48">
        <w:rPr>
          <w:rFonts w:ascii="Times New Roman" w:hAnsi="Times New Roman" w:cs="Times New Roman"/>
          <w:b/>
          <w:bCs/>
          <w:i w:val="0"/>
          <w:iCs w:val="0"/>
          <w:color w:val="auto"/>
          <w:sz w:val="24"/>
          <w:szCs w:val="24"/>
        </w:rPr>
        <w:t xml:space="preserve">Table </w:t>
      </w:r>
      <w:r w:rsidRPr="00082B48">
        <w:rPr>
          <w:rFonts w:ascii="Times New Roman" w:hAnsi="Times New Roman" w:cs="Times New Roman"/>
          <w:b/>
          <w:bCs/>
          <w:i w:val="0"/>
          <w:iCs w:val="0"/>
          <w:color w:val="auto"/>
          <w:sz w:val="24"/>
          <w:szCs w:val="24"/>
        </w:rPr>
        <w:fldChar w:fldCharType="begin"/>
      </w:r>
      <w:r w:rsidRPr="00082B48">
        <w:rPr>
          <w:rFonts w:ascii="Times New Roman" w:hAnsi="Times New Roman" w:cs="Times New Roman"/>
          <w:b/>
          <w:bCs/>
          <w:i w:val="0"/>
          <w:iCs w:val="0"/>
          <w:color w:val="auto"/>
          <w:sz w:val="24"/>
          <w:szCs w:val="24"/>
        </w:rPr>
        <w:instrText xml:space="preserve"> SEQ Table \* ARABIC </w:instrText>
      </w:r>
      <w:r w:rsidRPr="00082B48">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2</w:t>
      </w:r>
      <w:r w:rsidRPr="00082B48">
        <w:rPr>
          <w:rFonts w:ascii="Times New Roman" w:hAnsi="Times New Roman" w:cs="Times New Roman"/>
          <w:b/>
          <w:bCs/>
          <w:i w:val="0"/>
          <w:iCs w:val="0"/>
          <w:color w:val="auto"/>
          <w:sz w:val="24"/>
          <w:szCs w:val="24"/>
        </w:rPr>
        <w:fldChar w:fldCharType="end"/>
      </w:r>
      <w:bookmarkEnd w:id="6"/>
      <w:r w:rsidRPr="00082B48">
        <w:rPr>
          <w:rFonts w:ascii="Times New Roman" w:hAnsi="Times New Roman" w:cs="Times New Roman"/>
          <w:b/>
          <w:bCs/>
          <w:i w:val="0"/>
          <w:iCs w:val="0"/>
          <w:color w:val="auto"/>
          <w:sz w:val="24"/>
          <w:szCs w:val="24"/>
        </w:rPr>
        <w:t>:</w:t>
      </w:r>
      <w:r w:rsidRPr="00082B48">
        <w:rPr>
          <w:rFonts w:ascii="Times New Roman" w:hAnsi="Times New Roman" w:cs="Times New Roman"/>
          <w:i w:val="0"/>
          <w:iCs w:val="0"/>
          <w:color w:val="auto"/>
          <w:sz w:val="24"/>
          <w:szCs w:val="24"/>
        </w:rPr>
        <w:t xml:space="preserve"> </w:t>
      </w:r>
      <w:r w:rsidRPr="00082B48">
        <w:rPr>
          <w:rFonts w:ascii="Times New Roman" w:eastAsiaTheme="minorEastAsia" w:hAnsi="Times New Roman" w:cs="Times New Roman"/>
          <w:i w:val="0"/>
          <w:iCs w:val="0"/>
          <w:color w:val="auto"/>
          <w:kern w:val="0"/>
          <w:sz w:val="24"/>
          <w:szCs w:val="24"/>
        </w:rPr>
        <w:t>EIS parameters for mild steel in 0.5 M HCl and the presence of different concentrations of the investigated inhibitors.</w:t>
      </w:r>
    </w:p>
    <w:tbl>
      <w:tblPr>
        <w:tblStyle w:val="TableGrid"/>
        <w:tblW w:w="0" w:type="auto"/>
        <w:tblBorders>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615"/>
        <w:gridCol w:w="900"/>
        <w:gridCol w:w="1350"/>
        <w:gridCol w:w="1175"/>
        <w:gridCol w:w="40"/>
        <w:gridCol w:w="1215"/>
        <w:gridCol w:w="1206"/>
        <w:gridCol w:w="954"/>
        <w:gridCol w:w="895"/>
      </w:tblGrid>
      <w:tr w:rsidR="00D65CBA" w:rsidRPr="009812B5" w14:paraId="79537918" w14:textId="77777777" w:rsidTr="00AD679A">
        <w:trPr>
          <w:trHeight w:val="896"/>
        </w:trPr>
        <w:tc>
          <w:tcPr>
            <w:tcW w:w="1615" w:type="dxa"/>
            <w:vMerge w:val="restart"/>
            <w:tcBorders>
              <w:top w:val="single" w:sz="4" w:space="0" w:color="auto"/>
            </w:tcBorders>
            <w:vAlign w:val="center"/>
          </w:tcPr>
          <w:p w14:paraId="108DE01F"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Amino Acid</w:t>
            </w:r>
          </w:p>
        </w:tc>
        <w:tc>
          <w:tcPr>
            <w:tcW w:w="900" w:type="dxa"/>
            <w:vMerge w:val="restart"/>
            <w:tcBorders>
              <w:top w:val="single" w:sz="4" w:space="0" w:color="auto"/>
            </w:tcBorders>
            <w:vAlign w:val="center"/>
          </w:tcPr>
          <w:p w14:paraId="2DDBC39A"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Conc. (%wt)</w:t>
            </w:r>
          </w:p>
        </w:tc>
        <w:tc>
          <w:tcPr>
            <w:tcW w:w="1350" w:type="dxa"/>
            <w:vMerge w:val="restart"/>
            <w:tcBorders>
              <w:top w:val="single" w:sz="4" w:space="0" w:color="auto"/>
              <w:right w:val="single" w:sz="4" w:space="0" w:color="auto"/>
            </w:tcBorders>
            <w:vAlign w:val="center"/>
          </w:tcPr>
          <w:p w14:paraId="62EBC994"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R</w:t>
            </w:r>
            <w:r w:rsidRPr="009812B5">
              <w:rPr>
                <w:rFonts w:ascii="Times New Roman" w:hAnsi="Times New Roman" w:cs="Times New Roman"/>
                <w:sz w:val="24"/>
                <w:szCs w:val="24"/>
                <w:vertAlign w:val="subscript"/>
              </w:rPr>
              <w:t>s</w:t>
            </w:r>
            <w:r w:rsidRPr="009812B5">
              <w:rPr>
                <w:rFonts w:ascii="Times New Roman" w:hAnsi="Times New Roman" w:cs="Times New Roman"/>
                <w:sz w:val="24"/>
                <w:szCs w:val="24"/>
              </w:rPr>
              <w:t xml:space="preserve"> (Ohm.cm</w:t>
            </w:r>
            <w:r w:rsidRPr="009812B5">
              <w:rPr>
                <w:rFonts w:ascii="Times New Roman" w:hAnsi="Times New Roman" w:cs="Times New Roman"/>
                <w:sz w:val="24"/>
                <w:szCs w:val="24"/>
                <w:vertAlign w:val="superscript"/>
              </w:rPr>
              <w:t>2</w:t>
            </w:r>
            <w:r w:rsidRPr="009812B5">
              <w:rPr>
                <w:rFonts w:ascii="Times New Roman" w:hAnsi="Times New Roman" w:cs="Times New Roman"/>
                <w:sz w:val="24"/>
                <w:szCs w:val="24"/>
              </w:rPr>
              <w:t>)</w:t>
            </w:r>
          </w:p>
        </w:tc>
        <w:tc>
          <w:tcPr>
            <w:tcW w:w="2430" w:type="dxa"/>
            <w:gridSpan w:val="3"/>
            <w:tcBorders>
              <w:top w:val="single" w:sz="4" w:space="0" w:color="auto"/>
              <w:left w:val="single" w:sz="4" w:space="0" w:color="auto"/>
              <w:bottom w:val="single" w:sz="4" w:space="0" w:color="auto"/>
              <w:right w:val="single" w:sz="4" w:space="0" w:color="auto"/>
            </w:tcBorders>
            <w:vAlign w:val="center"/>
          </w:tcPr>
          <w:p w14:paraId="0AA11C6B"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CPE</w:t>
            </w:r>
          </w:p>
        </w:tc>
        <w:tc>
          <w:tcPr>
            <w:tcW w:w="1206" w:type="dxa"/>
            <w:vMerge w:val="restart"/>
            <w:tcBorders>
              <w:top w:val="single" w:sz="4" w:space="0" w:color="auto"/>
              <w:left w:val="single" w:sz="4" w:space="0" w:color="auto"/>
            </w:tcBorders>
            <w:vAlign w:val="center"/>
          </w:tcPr>
          <w:p w14:paraId="61CBECB1" w14:textId="77777777" w:rsidR="00D65CBA" w:rsidRPr="009812B5" w:rsidRDefault="00000000" w:rsidP="00AD679A">
            <w:pPr>
              <w:spacing w:before="120" w:after="120"/>
              <w:jc w:val="center"/>
              <w:rPr>
                <w:rFonts w:ascii="Times New Roman"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C</m:t>
                  </m:r>
                </m:e>
                <m:sub>
                  <m:r>
                    <w:rPr>
                      <w:rFonts w:ascii="Cambria Math" w:eastAsiaTheme="minorEastAsia" w:hAnsi="Cambria Math" w:cs="Times New Roman"/>
                      <w:sz w:val="24"/>
                      <w:szCs w:val="24"/>
                    </w:rPr>
                    <m:t>dl</m:t>
                  </m:r>
                </m:sub>
              </m:sSub>
            </m:oMath>
            <w:r w:rsidR="00D65CBA" w:rsidRPr="009812B5">
              <w:rPr>
                <w:rFonts w:ascii="Times New Roman" w:eastAsiaTheme="minorEastAsia" w:hAnsi="Times New Roman" w:cs="Times New Roman"/>
                <w:sz w:val="24"/>
                <w:szCs w:val="24"/>
              </w:rPr>
              <w:t xml:space="preserve"> (μFcm</w:t>
            </w:r>
            <w:r w:rsidR="00D65CBA" w:rsidRPr="009812B5">
              <w:rPr>
                <w:rFonts w:ascii="Times New Roman" w:eastAsiaTheme="minorEastAsia" w:hAnsi="Times New Roman" w:cs="Times New Roman"/>
                <w:sz w:val="24"/>
                <w:szCs w:val="24"/>
                <w:vertAlign w:val="superscript"/>
              </w:rPr>
              <w:t>-2</w:t>
            </w:r>
            <w:r w:rsidR="00D65CBA" w:rsidRPr="009812B5">
              <w:rPr>
                <w:rFonts w:ascii="Times New Roman" w:eastAsiaTheme="minorEastAsia" w:hAnsi="Times New Roman" w:cs="Times New Roman"/>
                <w:sz w:val="24"/>
                <w:szCs w:val="24"/>
              </w:rPr>
              <w:t>)</w:t>
            </w:r>
          </w:p>
        </w:tc>
        <w:tc>
          <w:tcPr>
            <w:tcW w:w="954" w:type="dxa"/>
            <w:vMerge w:val="restart"/>
            <w:tcBorders>
              <w:top w:val="single" w:sz="4" w:space="0" w:color="auto"/>
            </w:tcBorders>
            <w:vAlign w:val="center"/>
          </w:tcPr>
          <w:p w14:paraId="67442880"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R</w:t>
            </w:r>
            <w:r w:rsidRPr="009812B5">
              <w:rPr>
                <w:rFonts w:ascii="Times New Roman" w:hAnsi="Times New Roman" w:cs="Times New Roman"/>
                <w:sz w:val="24"/>
                <w:szCs w:val="24"/>
                <w:vertAlign w:val="subscript"/>
              </w:rPr>
              <w:t>ct</w:t>
            </w:r>
            <w:r w:rsidRPr="009812B5">
              <w:rPr>
                <w:rFonts w:ascii="Times New Roman" w:hAnsi="Times New Roman" w:cs="Times New Roman"/>
                <w:sz w:val="24"/>
                <w:szCs w:val="24"/>
              </w:rPr>
              <w:t xml:space="preserve"> (Ohm.cm</w:t>
            </w:r>
            <w:r w:rsidRPr="009812B5">
              <w:rPr>
                <w:rFonts w:ascii="Times New Roman" w:hAnsi="Times New Roman" w:cs="Times New Roman"/>
                <w:sz w:val="24"/>
                <w:szCs w:val="24"/>
                <w:vertAlign w:val="superscript"/>
              </w:rPr>
              <w:t>2</w:t>
            </w:r>
            <w:r w:rsidRPr="009812B5">
              <w:rPr>
                <w:rFonts w:ascii="Times New Roman" w:hAnsi="Times New Roman" w:cs="Times New Roman"/>
                <w:sz w:val="24"/>
                <w:szCs w:val="24"/>
              </w:rPr>
              <w:t>)</w:t>
            </w:r>
          </w:p>
        </w:tc>
        <w:tc>
          <w:tcPr>
            <w:tcW w:w="895" w:type="dxa"/>
            <w:vMerge w:val="restart"/>
            <w:tcBorders>
              <w:top w:val="single" w:sz="4" w:space="0" w:color="auto"/>
            </w:tcBorders>
            <w:vAlign w:val="center"/>
          </w:tcPr>
          <w:p w14:paraId="3CD2AD69"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IE (%)</w:t>
            </w:r>
          </w:p>
        </w:tc>
      </w:tr>
      <w:tr w:rsidR="00D65CBA" w:rsidRPr="009812B5" w14:paraId="478DA6D3" w14:textId="77777777" w:rsidTr="00AD679A">
        <w:trPr>
          <w:trHeight w:val="896"/>
        </w:trPr>
        <w:tc>
          <w:tcPr>
            <w:tcW w:w="1615" w:type="dxa"/>
            <w:vMerge/>
            <w:tcBorders>
              <w:bottom w:val="single" w:sz="4" w:space="0" w:color="auto"/>
            </w:tcBorders>
            <w:vAlign w:val="center"/>
          </w:tcPr>
          <w:p w14:paraId="125999C3" w14:textId="77777777" w:rsidR="00D65CBA" w:rsidRPr="009812B5" w:rsidRDefault="00D65CBA" w:rsidP="00AD679A">
            <w:pPr>
              <w:spacing w:before="120" w:after="120"/>
              <w:jc w:val="center"/>
              <w:rPr>
                <w:rFonts w:ascii="Times New Roman" w:hAnsi="Times New Roman" w:cs="Times New Roman"/>
                <w:sz w:val="24"/>
                <w:szCs w:val="24"/>
              </w:rPr>
            </w:pPr>
          </w:p>
        </w:tc>
        <w:tc>
          <w:tcPr>
            <w:tcW w:w="900" w:type="dxa"/>
            <w:vMerge/>
            <w:tcBorders>
              <w:bottom w:val="single" w:sz="4" w:space="0" w:color="auto"/>
            </w:tcBorders>
            <w:vAlign w:val="center"/>
          </w:tcPr>
          <w:p w14:paraId="126C940D" w14:textId="77777777" w:rsidR="00D65CBA" w:rsidRPr="009812B5" w:rsidRDefault="00D65CBA" w:rsidP="00AD679A">
            <w:pPr>
              <w:spacing w:before="120" w:after="120"/>
              <w:jc w:val="center"/>
              <w:rPr>
                <w:rFonts w:ascii="Times New Roman" w:hAnsi="Times New Roman" w:cs="Times New Roman"/>
                <w:sz w:val="24"/>
                <w:szCs w:val="24"/>
              </w:rPr>
            </w:pPr>
          </w:p>
        </w:tc>
        <w:tc>
          <w:tcPr>
            <w:tcW w:w="1350" w:type="dxa"/>
            <w:vMerge/>
            <w:tcBorders>
              <w:bottom w:val="single" w:sz="4" w:space="0" w:color="auto"/>
              <w:right w:val="single" w:sz="4" w:space="0" w:color="auto"/>
            </w:tcBorders>
            <w:vAlign w:val="center"/>
          </w:tcPr>
          <w:p w14:paraId="6A7871C4" w14:textId="77777777" w:rsidR="00D65CBA" w:rsidRPr="009812B5" w:rsidRDefault="00D65CBA" w:rsidP="00AD679A">
            <w:pPr>
              <w:spacing w:before="120" w:after="120"/>
              <w:jc w:val="center"/>
              <w:rPr>
                <w:rFonts w:ascii="Times New Roman" w:hAnsi="Times New Roman" w:cs="Times New Roman"/>
                <w:sz w:val="24"/>
                <w:szCs w:val="24"/>
              </w:rPr>
            </w:pPr>
          </w:p>
        </w:tc>
        <w:tc>
          <w:tcPr>
            <w:tcW w:w="1215" w:type="dxa"/>
            <w:gridSpan w:val="2"/>
            <w:tcBorders>
              <w:top w:val="single" w:sz="4" w:space="0" w:color="auto"/>
              <w:left w:val="single" w:sz="4" w:space="0" w:color="auto"/>
              <w:bottom w:val="single" w:sz="4" w:space="0" w:color="auto"/>
              <w:right w:val="single" w:sz="4" w:space="0" w:color="auto"/>
            </w:tcBorders>
            <w:vAlign w:val="center"/>
          </w:tcPr>
          <w:p w14:paraId="29B14B24" w14:textId="77777777" w:rsidR="00D65CBA" w:rsidRPr="009812B5" w:rsidRDefault="00000000" w:rsidP="00AD679A">
            <w:pPr>
              <w:spacing w:before="120" w:after="120"/>
              <w:jc w:val="center"/>
              <w:rPr>
                <w:rFonts w:ascii="Times New Roman" w:hAnsi="Times New Roman" w:cs="Times New Roman"/>
                <w:sz w:val="24"/>
                <w:szCs w:val="24"/>
              </w:rPr>
            </w:pPr>
            <m:oMath>
              <m:sSub>
                <m:sSubPr>
                  <m:ctrlPr>
                    <w:rPr>
                      <w:rFonts w:ascii="Cambria Math" w:eastAsiaTheme="minorEastAsia" w:hAnsi="Cambria Math" w:cs="Times New Roman"/>
                      <w:i/>
                      <w:sz w:val="24"/>
                      <w:szCs w:val="24"/>
                    </w:rPr>
                  </m:ctrlPr>
                </m:sSubPr>
                <m:e>
                  <m:r>
                    <w:rPr>
                      <w:rFonts w:ascii="Cambria Math" w:eastAsiaTheme="minorEastAsia" w:hAnsi="Cambria Math" w:cs="Times New Roman"/>
                      <w:sz w:val="24"/>
                      <w:szCs w:val="24"/>
                    </w:rPr>
                    <m:t>Y</m:t>
                  </m:r>
                </m:e>
                <m:sub>
                  <m:r>
                    <w:rPr>
                      <w:rFonts w:ascii="Cambria Math" w:eastAsiaTheme="minorEastAsia" w:hAnsi="Cambria Math" w:cs="Times New Roman"/>
                      <w:sz w:val="24"/>
                      <w:szCs w:val="24"/>
                    </w:rPr>
                    <m:t>0</m:t>
                  </m:r>
                </m:sub>
              </m:sSub>
              <m:r>
                <w:rPr>
                  <w:rFonts w:ascii="Cambria Math" w:eastAsiaTheme="minorEastAsia" w:hAnsi="Cambria Math" w:cs="Times New Roman"/>
                  <w:sz w:val="24"/>
                  <w:szCs w:val="24"/>
                </w:rPr>
                <m:t xml:space="preserve"> </m:t>
              </m:r>
            </m:oMath>
            <w:r w:rsidR="00D65CBA" w:rsidRPr="009812B5">
              <w:rPr>
                <w:rFonts w:ascii="Times New Roman" w:eastAsiaTheme="minorEastAsia" w:hAnsi="Times New Roman" w:cs="Times New Roman"/>
                <w:sz w:val="24"/>
                <w:szCs w:val="24"/>
              </w:rPr>
              <w:t>(Ss</w:t>
            </w:r>
            <w:r w:rsidR="00D65CBA" w:rsidRPr="009812B5">
              <w:rPr>
                <w:rFonts w:ascii="Times New Roman" w:eastAsiaTheme="minorEastAsia" w:hAnsi="Times New Roman" w:cs="Times New Roman"/>
                <w:sz w:val="24"/>
                <w:szCs w:val="24"/>
                <w:vertAlign w:val="superscript"/>
              </w:rPr>
              <w:t>n</w:t>
            </w:r>
            <w:r w:rsidR="00D65CBA" w:rsidRPr="009812B5">
              <w:rPr>
                <w:rFonts w:ascii="Times New Roman" w:eastAsiaTheme="minorEastAsia" w:hAnsi="Times New Roman" w:cs="Times New Roman"/>
                <w:sz w:val="24"/>
                <w:szCs w:val="24"/>
              </w:rPr>
              <w:t>cm</w:t>
            </w:r>
            <w:r w:rsidR="00D65CBA" w:rsidRPr="009812B5">
              <w:rPr>
                <w:rFonts w:ascii="Times New Roman" w:eastAsiaTheme="minorEastAsia" w:hAnsi="Times New Roman" w:cs="Times New Roman"/>
                <w:sz w:val="24"/>
                <w:szCs w:val="24"/>
                <w:vertAlign w:val="superscript"/>
              </w:rPr>
              <w:t>-2</w:t>
            </w:r>
            <w:r w:rsidR="00D65CBA" w:rsidRPr="009812B5">
              <w:rPr>
                <w:rFonts w:ascii="Times New Roman" w:eastAsiaTheme="minorEastAsia" w:hAnsi="Times New Roman" w:cs="Times New Roman"/>
                <w:sz w:val="24"/>
                <w:szCs w:val="24"/>
              </w:rPr>
              <w:t>) x 10</w:t>
            </w:r>
            <w:r w:rsidR="00D65CBA" w:rsidRPr="009812B5">
              <w:rPr>
                <w:rFonts w:ascii="Times New Roman" w:eastAsiaTheme="minorEastAsia" w:hAnsi="Times New Roman" w:cs="Times New Roman"/>
                <w:sz w:val="24"/>
                <w:szCs w:val="24"/>
                <w:vertAlign w:val="superscript"/>
              </w:rPr>
              <w:t>-6</w:t>
            </w:r>
          </w:p>
        </w:tc>
        <w:tc>
          <w:tcPr>
            <w:tcW w:w="1215" w:type="dxa"/>
            <w:tcBorders>
              <w:top w:val="single" w:sz="4" w:space="0" w:color="auto"/>
              <w:left w:val="single" w:sz="4" w:space="0" w:color="auto"/>
              <w:bottom w:val="single" w:sz="4" w:space="0" w:color="auto"/>
              <w:right w:val="single" w:sz="4" w:space="0" w:color="auto"/>
            </w:tcBorders>
            <w:vAlign w:val="center"/>
          </w:tcPr>
          <w:p w14:paraId="119C5CE0" w14:textId="77777777" w:rsidR="00D65CBA" w:rsidRPr="009812B5" w:rsidRDefault="00D65CBA" w:rsidP="00AD679A">
            <w:pPr>
              <w:spacing w:before="120" w:after="120"/>
              <w:jc w:val="center"/>
              <w:rPr>
                <w:rFonts w:ascii="Times New Roman" w:hAnsi="Times New Roman" w:cs="Times New Roman"/>
                <w:sz w:val="24"/>
                <w:szCs w:val="24"/>
              </w:rPr>
            </w:pPr>
            <m:oMathPara>
              <m:oMath>
                <m:r>
                  <w:rPr>
                    <w:rFonts w:ascii="Cambria Math" w:eastAsiaTheme="minorEastAsia" w:hAnsi="Cambria Math" w:cs="Times New Roman"/>
                    <w:sz w:val="24"/>
                    <w:szCs w:val="24"/>
                  </w:rPr>
                  <m:t>n</m:t>
                </m:r>
              </m:oMath>
            </m:oMathPara>
          </w:p>
        </w:tc>
        <w:tc>
          <w:tcPr>
            <w:tcW w:w="1206" w:type="dxa"/>
            <w:vMerge/>
            <w:tcBorders>
              <w:left w:val="single" w:sz="4" w:space="0" w:color="auto"/>
              <w:bottom w:val="single" w:sz="4" w:space="0" w:color="auto"/>
            </w:tcBorders>
            <w:vAlign w:val="center"/>
          </w:tcPr>
          <w:p w14:paraId="36A3CB14" w14:textId="77777777" w:rsidR="00D65CBA" w:rsidRPr="009812B5" w:rsidRDefault="00D65CBA" w:rsidP="00AD679A">
            <w:pPr>
              <w:spacing w:before="120" w:after="120"/>
              <w:jc w:val="center"/>
              <w:rPr>
                <w:rFonts w:ascii="Times New Roman" w:eastAsia="Aptos" w:hAnsi="Times New Roman" w:cs="Times New Roman"/>
                <w:sz w:val="24"/>
                <w:szCs w:val="24"/>
              </w:rPr>
            </w:pPr>
          </w:p>
        </w:tc>
        <w:tc>
          <w:tcPr>
            <w:tcW w:w="954" w:type="dxa"/>
            <w:vMerge/>
            <w:tcBorders>
              <w:bottom w:val="single" w:sz="4" w:space="0" w:color="auto"/>
            </w:tcBorders>
            <w:vAlign w:val="center"/>
          </w:tcPr>
          <w:p w14:paraId="44B27F9A" w14:textId="77777777" w:rsidR="00D65CBA" w:rsidRPr="009812B5" w:rsidRDefault="00D65CBA" w:rsidP="00AD679A">
            <w:pPr>
              <w:spacing w:before="120" w:after="120"/>
              <w:jc w:val="center"/>
              <w:rPr>
                <w:rFonts w:ascii="Times New Roman" w:hAnsi="Times New Roman" w:cs="Times New Roman"/>
                <w:sz w:val="24"/>
                <w:szCs w:val="24"/>
              </w:rPr>
            </w:pPr>
          </w:p>
        </w:tc>
        <w:tc>
          <w:tcPr>
            <w:tcW w:w="895" w:type="dxa"/>
            <w:vMerge/>
            <w:tcBorders>
              <w:bottom w:val="single" w:sz="4" w:space="0" w:color="auto"/>
            </w:tcBorders>
            <w:vAlign w:val="center"/>
          </w:tcPr>
          <w:p w14:paraId="0ED61FC6" w14:textId="77777777" w:rsidR="00D65CBA" w:rsidRPr="009812B5" w:rsidRDefault="00D65CBA" w:rsidP="00AD679A">
            <w:pPr>
              <w:spacing w:before="120" w:after="120"/>
              <w:jc w:val="center"/>
              <w:rPr>
                <w:rFonts w:ascii="Times New Roman" w:hAnsi="Times New Roman" w:cs="Times New Roman"/>
                <w:sz w:val="24"/>
                <w:szCs w:val="24"/>
              </w:rPr>
            </w:pPr>
          </w:p>
        </w:tc>
      </w:tr>
      <w:tr w:rsidR="00D65CBA" w:rsidRPr="009812B5" w14:paraId="6AD48181" w14:textId="77777777" w:rsidTr="00AD679A">
        <w:tc>
          <w:tcPr>
            <w:tcW w:w="1615" w:type="dxa"/>
            <w:tcBorders>
              <w:top w:val="single" w:sz="4" w:space="0" w:color="auto"/>
              <w:bottom w:val="single" w:sz="4" w:space="0" w:color="auto"/>
            </w:tcBorders>
            <w:vAlign w:val="center"/>
          </w:tcPr>
          <w:p w14:paraId="2045D9D3" w14:textId="77777777" w:rsidR="00D65CBA" w:rsidRPr="009812B5" w:rsidRDefault="00D65CBA" w:rsidP="00AD679A">
            <w:pPr>
              <w:spacing w:before="120" w:after="120"/>
              <w:jc w:val="center"/>
              <w:rPr>
                <w:rFonts w:ascii="Times New Roman" w:hAnsi="Times New Roman" w:cs="Times New Roman"/>
                <w:sz w:val="24"/>
                <w:szCs w:val="24"/>
                <w:vertAlign w:val="superscript"/>
              </w:rPr>
            </w:pPr>
            <w:r w:rsidRPr="009812B5">
              <w:rPr>
                <w:rFonts w:ascii="Times New Roman" w:hAnsi="Times New Roman" w:cs="Times New Roman"/>
                <w:sz w:val="24"/>
                <w:szCs w:val="24"/>
              </w:rPr>
              <w:t>Control</w:t>
            </w:r>
            <w:r w:rsidRPr="009812B5">
              <w:rPr>
                <w:rFonts w:ascii="Times New Roman" w:hAnsi="Times New Roman" w:cs="Times New Roman"/>
                <w:sz w:val="24"/>
                <w:szCs w:val="24"/>
                <w:vertAlign w:val="superscript"/>
              </w:rPr>
              <w:t>1</w:t>
            </w:r>
          </w:p>
        </w:tc>
        <w:tc>
          <w:tcPr>
            <w:tcW w:w="900" w:type="dxa"/>
            <w:tcBorders>
              <w:top w:val="single" w:sz="4" w:space="0" w:color="auto"/>
              <w:bottom w:val="single" w:sz="4" w:space="0" w:color="auto"/>
            </w:tcBorders>
            <w:vAlign w:val="center"/>
          </w:tcPr>
          <w:p w14:paraId="32C24015"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w:t>
            </w:r>
          </w:p>
        </w:tc>
        <w:tc>
          <w:tcPr>
            <w:tcW w:w="1350" w:type="dxa"/>
            <w:tcBorders>
              <w:top w:val="single" w:sz="4" w:space="0" w:color="auto"/>
              <w:bottom w:val="single" w:sz="4" w:space="0" w:color="auto"/>
            </w:tcBorders>
            <w:vAlign w:val="center"/>
          </w:tcPr>
          <w:p w14:paraId="61212398"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4.329</w:t>
            </w:r>
          </w:p>
        </w:tc>
        <w:tc>
          <w:tcPr>
            <w:tcW w:w="1175" w:type="dxa"/>
            <w:tcBorders>
              <w:top w:val="single" w:sz="4" w:space="0" w:color="auto"/>
              <w:bottom w:val="single" w:sz="4" w:space="0" w:color="auto"/>
            </w:tcBorders>
            <w:vAlign w:val="center"/>
          </w:tcPr>
          <w:p w14:paraId="4F5F6060"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319.6</w:t>
            </w:r>
          </w:p>
        </w:tc>
        <w:tc>
          <w:tcPr>
            <w:tcW w:w="1255" w:type="dxa"/>
            <w:gridSpan w:val="2"/>
            <w:tcBorders>
              <w:top w:val="single" w:sz="4" w:space="0" w:color="auto"/>
              <w:bottom w:val="single" w:sz="4" w:space="0" w:color="auto"/>
            </w:tcBorders>
            <w:vAlign w:val="center"/>
          </w:tcPr>
          <w:p w14:paraId="19011AC5"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0.842</w:t>
            </w:r>
          </w:p>
        </w:tc>
        <w:tc>
          <w:tcPr>
            <w:tcW w:w="1206" w:type="dxa"/>
            <w:tcBorders>
              <w:top w:val="single" w:sz="4" w:space="0" w:color="auto"/>
              <w:bottom w:val="single" w:sz="4" w:space="0" w:color="auto"/>
            </w:tcBorders>
            <w:vAlign w:val="center"/>
          </w:tcPr>
          <w:p w14:paraId="5A6CAD83"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185.33</w:t>
            </w:r>
          </w:p>
        </w:tc>
        <w:tc>
          <w:tcPr>
            <w:tcW w:w="954" w:type="dxa"/>
            <w:tcBorders>
              <w:top w:val="single" w:sz="4" w:space="0" w:color="auto"/>
              <w:bottom w:val="single" w:sz="4" w:space="0" w:color="auto"/>
            </w:tcBorders>
            <w:vAlign w:val="center"/>
          </w:tcPr>
          <w:p w14:paraId="16497267"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187.67</w:t>
            </w:r>
          </w:p>
        </w:tc>
        <w:tc>
          <w:tcPr>
            <w:tcW w:w="895" w:type="dxa"/>
            <w:tcBorders>
              <w:top w:val="single" w:sz="4" w:space="0" w:color="auto"/>
              <w:bottom w:val="single" w:sz="4" w:space="0" w:color="auto"/>
            </w:tcBorders>
            <w:vAlign w:val="center"/>
          </w:tcPr>
          <w:p w14:paraId="1AB69DE8"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w:t>
            </w:r>
          </w:p>
        </w:tc>
      </w:tr>
      <w:tr w:rsidR="00D65CBA" w:rsidRPr="009812B5" w14:paraId="31D52050" w14:textId="77777777" w:rsidTr="00AD679A">
        <w:tc>
          <w:tcPr>
            <w:tcW w:w="1615" w:type="dxa"/>
            <w:vMerge w:val="restart"/>
            <w:tcBorders>
              <w:top w:val="single" w:sz="4" w:space="0" w:color="auto"/>
            </w:tcBorders>
            <w:vAlign w:val="center"/>
          </w:tcPr>
          <w:p w14:paraId="757922DA"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L-Methionine</w:t>
            </w:r>
          </w:p>
        </w:tc>
        <w:tc>
          <w:tcPr>
            <w:tcW w:w="900" w:type="dxa"/>
            <w:tcBorders>
              <w:top w:val="single" w:sz="4" w:space="0" w:color="auto"/>
            </w:tcBorders>
            <w:vAlign w:val="center"/>
          </w:tcPr>
          <w:p w14:paraId="433B021A"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0.002</w:t>
            </w:r>
          </w:p>
        </w:tc>
        <w:tc>
          <w:tcPr>
            <w:tcW w:w="1350" w:type="dxa"/>
            <w:tcBorders>
              <w:top w:val="single" w:sz="4" w:space="0" w:color="auto"/>
            </w:tcBorders>
            <w:vAlign w:val="center"/>
          </w:tcPr>
          <w:p w14:paraId="49CC717E"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4.368</w:t>
            </w:r>
          </w:p>
        </w:tc>
        <w:tc>
          <w:tcPr>
            <w:tcW w:w="1175" w:type="dxa"/>
            <w:tcBorders>
              <w:top w:val="single" w:sz="4" w:space="0" w:color="auto"/>
            </w:tcBorders>
            <w:vAlign w:val="center"/>
          </w:tcPr>
          <w:p w14:paraId="432AC4A4"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191.8</w:t>
            </w:r>
          </w:p>
        </w:tc>
        <w:tc>
          <w:tcPr>
            <w:tcW w:w="1255" w:type="dxa"/>
            <w:gridSpan w:val="2"/>
            <w:tcBorders>
              <w:top w:val="single" w:sz="4" w:space="0" w:color="auto"/>
            </w:tcBorders>
            <w:vAlign w:val="center"/>
          </w:tcPr>
          <w:p w14:paraId="5AC6A78F"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0.874</w:t>
            </w:r>
          </w:p>
        </w:tc>
        <w:tc>
          <w:tcPr>
            <w:tcW w:w="1206" w:type="dxa"/>
            <w:tcBorders>
              <w:top w:val="single" w:sz="4" w:space="0" w:color="auto"/>
            </w:tcBorders>
            <w:vAlign w:val="center"/>
          </w:tcPr>
          <w:p w14:paraId="12170CF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120.97</w:t>
            </w:r>
          </w:p>
        </w:tc>
        <w:tc>
          <w:tcPr>
            <w:tcW w:w="954" w:type="dxa"/>
            <w:tcBorders>
              <w:top w:val="single" w:sz="4" w:space="0" w:color="auto"/>
            </w:tcBorders>
            <w:vAlign w:val="center"/>
          </w:tcPr>
          <w:p w14:paraId="195833EC"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197.53</w:t>
            </w:r>
          </w:p>
        </w:tc>
        <w:tc>
          <w:tcPr>
            <w:tcW w:w="895" w:type="dxa"/>
            <w:tcBorders>
              <w:top w:val="single" w:sz="4" w:space="0" w:color="auto"/>
            </w:tcBorders>
            <w:vAlign w:val="center"/>
          </w:tcPr>
          <w:p w14:paraId="67CCAB5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5.0</w:t>
            </w:r>
          </w:p>
        </w:tc>
      </w:tr>
      <w:tr w:rsidR="00D65CBA" w:rsidRPr="009812B5" w14:paraId="44F850F0" w14:textId="77777777" w:rsidTr="00AD679A">
        <w:tc>
          <w:tcPr>
            <w:tcW w:w="1615" w:type="dxa"/>
            <w:vMerge/>
            <w:tcBorders>
              <w:top w:val="nil"/>
            </w:tcBorders>
            <w:vAlign w:val="center"/>
          </w:tcPr>
          <w:p w14:paraId="58456764" w14:textId="77777777" w:rsidR="00D65CBA" w:rsidRPr="009812B5" w:rsidRDefault="00D65CBA" w:rsidP="00AD679A">
            <w:pPr>
              <w:spacing w:before="120" w:after="120"/>
              <w:jc w:val="center"/>
              <w:rPr>
                <w:rFonts w:ascii="Times New Roman" w:hAnsi="Times New Roman" w:cs="Times New Roman"/>
                <w:sz w:val="24"/>
                <w:szCs w:val="24"/>
              </w:rPr>
            </w:pPr>
          </w:p>
        </w:tc>
        <w:tc>
          <w:tcPr>
            <w:tcW w:w="900" w:type="dxa"/>
            <w:tcBorders>
              <w:top w:val="nil"/>
            </w:tcBorders>
            <w:vAlign w:val="center"/>
          </w:tcPr>
          <w:p w14:paraId="799C485B"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0.008</w:t>
            </w:r>
          </w:p>
        </w:tc>
        <w:tc>
          <w:tcPr>
            <w:tcW w:w="1350" w:type="dxa"/>
            <w:tcBorders>
              <w:top w:val="nil"/>
            </w:tcBorders>
            <w:vAlign w:val="center"/>
          </w:tcPr>
          <w:p w14:paraId="7B90D3E0"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4.105</w:t>
            </w:r>
          </w:p>
        </w:tc>
        <w:tc>
          <w:tcPr>
            <w:tcW w:w="1175" w:type="dxa"/>
            <w:tcBorders>
              <w:top w:val="nil"/>
            </w:tcBorders>
            <w:vAlign w:val="center"/>
          </w:tcPr>
          <w:p w14:paraId="7E1D2C49"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178.2</w:t>
            </w:r>
          </w:p>
        </w:tc>
        <w:tc>
          <w:tcPr>
            <w:tcW w:w="1255" w:type="dxa"/>
            <w:gridSpan w:val="2"/>
            <w:tcBorders>
              <w:top w:val="nil"/>
            </w:tcBorders>
            <w:vAlign w:val="center"/>
          </w:tcPr>
          <w:p w14:paraId="4038ECB9"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0.871</w:t>
            </w:r>
          </w:p>
        </w:tc>
        <w:tc>
          <w:tcPr>
            <w:tcW w:w="1206" w:type="dxa"/>
            <w:tcBorders>
              <w:top w:val="nil"/>
            </w:tcBorders>
            <w:vAlign w:val="center"/>
          </w:tcPr>
          <w:p w14:paraId="62DE46F4"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114.21</w:t>
            </w:r>
          </w:p>
        </w:tc>
        <w:tc>
          <w:tcPr>
            <w:tcW w:w="954" w:type="dxa"/>
            <w:tcBorders>
              <w:top w:val="nil"/>
            </w:tcBorders>
            <w:vAlign w:val="center"/>
          </w:tcPr>
          <w:p w14:paraId="0454DF0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282.99</w:t>
            </w:r>
          </w:p>
        </w:tc>
        <w:tc>
          <w:tcPr>
            <w:tcW w:w="895" w:type="dxa"/>
            <w:tcBorders>
              <w:top w:val="nil"/>
            </w:tcBorders>
            <w:vAlign w:val="center"/>
          </w:tcPr>
          <w:p w14:paraId="46FBCD1B"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33.7</w:t>
            </w:r>
          </w:p>
        </w:tc>
      </w:tr>
      <w:tr w:rsidR="00D65CBA" w:rsidRPr="009812B5" w14:paraId="3519F0BB" w14:textId="77777777" w:rsidTr="00AD679A">
        <w:tc>
          <w:tcPr>
            <w:tcW w:w="1615" w:type="dxa"/>
            <w:vMerge/>
            <w:tcBorders>
              <w:top w:val="nil"/>
              <w:bottom w:val="single" w:sz="4" w:space="0" w:color="auto"/>
            </w:tcBorders>
            <w:vAlign w:val="center"/>
          </w:tcPr>
          <w:p w14:paraId="0545CFA6" w14:textId="77777777" w:rsidR="00D65CBA" w:rsidRPr="009812B5" w:rsidRDefault="00D65CBA" w:rsidP="00AD679A">
            <w:pPr>
              <w:spacing w:before="120" w:after="120"/>
              <w:jc w:val="center"/>
              <w:rPr>
                <w:rFonts w:ascii="Times New Roman" w:hAnsi="Times New Roman" w:cs="Times New Roman"/>
                <w:sz w:val="24"/>
                <w:szCs w:val="24"/>
              </w:rPr>
            </w:pPr>
          </w:p>
        </w:tc>
        <w:tc>
          <w:tcPr>
            <w:tcW w:w="900" w:type="dxa"/>
            <w:tcBorders>
              <w:top w:val="nil"/>
              <w:bottom w:val="single" w:sz="4" w:space="0" w:color="auto"/>
            </w:tcBorders>
            <w:vAlign w:val="center"/>
          </w:tcPr>
          <w:p w14:paraId="623BB937"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0.02</w:t>
            </w:r>
          </w:p>
        </w:tc>
        <w:tc>
          <w:tcPr>
            <w:tcW w:w="1350" w:type="dxa"/>
            <w:tcBorders>
              <w:top w:val="nil"/>
              <w:bottom w:val="single" w:sz="4" w:space="0" w:color="auto"/>
            </w:tcBorders>
            <w:vAlign w:val="center"/>
          </w:tcPr>
          <w:p w14:paraId="283D6FBD"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3.848</w:t>
            </w:r>
          </w:p>
        </w:tc>
        <w:tc>
          <w:tcPr>
            <w:tcW w:w="1175" w:type="dxa"/>
            <w:tcBorders>
              <w:top w:val="nil"/>
              <w:bottom w:val="single" w:sz="4" w:space="0" w:color="auto"/>
            </w:tcBorders>
            <w:vAlign w:val="center"/>
          </w:tcPr>
          <w:p w14:paraId="57F469B2"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172.00</w:t>
            </w:r>
          </w:p>
        </w:tc>
        <w:tc>
          <w:tcPr>
            <w:tcW w:w="1255" w:type="dxa"/>
            <w:gridSpan w:val="2"/>
            <w:tcBorders>
              <w:top w:val="nil"/>
              <w:bottom w:val="single" w:sz="4" w:space="0" w:color="auto"/>
            </w:tcBorders>
            <w:vAlign w:val="center"/>
          </w:tcPr>
          <w:p w14:paraId="5687A8CE"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0.869</w:t>
            </w:r>
          </w:p>
        </w:tc>
        <w:tc>
          <w:tcPr>
            <w:tcW w:w="1206" w:type="dxa"/>
            <w:tcBorders>
              <w:top w:val="nil"/>
              <w:bottom w:val="single" w:sz="4" w:space="0" w:color="auto"/>
            </w:tcBorders>
            <w:vAlign w:val="center"/>
          </w:tcPr>
          <w:p w14:paraId="2D63CA3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109.59</w:t>
            </w:r>
          </w:p>
        </w:tc>
        <w:tc>
          <w:tcPr>
            <w:tcW w:w="954" w:type="dxa"/>
            <w:tcBorders>
              <w:top w:val="nil"/>
              <w:bottom w:val="single" w:sz="4" w:space="0" w:color="auto"/>
            </w:tcBorders>
            <w:vAlign w:val="center"/>
          </w:tcPr>
          <w:p w14:paraId="68508E18"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317.35</w:t>
            </w:r>
          </w:p>
        </w:tc>
        <w:tc>
          <w:tcPr>
            <w:tcW w:w="895" w:type="dxa"/>
            <w:tcBorders>
              <w:top w:val="nil"/>
              <w:bottom w:val="single" w:sz="4" w:space="0" w:color="auto"/>
            </w:tcBorders>
            <w:vAlign w:val="center"/>
          </w:tcPr>
          <w:p w14:paraId="756815D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40.9</w:t>
            </w:r>
          </w:p>
        </w:tc>
      </w:tr>
      <w:tr w:rsidR="00D65CBA" w:rsidRPr="009812B5" w14:paraId="0D9A3D49" w14:textId="77777777" w:rsidTr="00AD679A">
        <w:tc>
          <w:tcPr>
            <w:tcW w:w="1615" w:type="dxa"/>
            <w:tcBorders>
              <w:top w:val="single" w:sz="4" w:space="0" w:color="auto"/>
              <w:bottom w:val="single" w:sz="4" w:space="0" w:color="auto"/>
            </w:tcBorders>
            <w:vAlign w:val="center"/>
          </w:tcPr>
          <w:p w14:paraId="3F350EE0" w14:textId="77777777" w:rsidR="00D65CBA" w:rsidRPr="009812B5" w:rsidRDefault="00D65CBA" w:rsidP="00AD679A">
            <w:pPr>
              <w:spacing w:before="120" w:after="120"/>
              <w:jc w:val="center"/>
              <w:rPr>
                <w:rFonts w:ascii="Times New Roman" w:hAnsi="Times New Roman" w:cs="Times New Roman"/>
                <w:sz w:val="24"/>
                <w:szCs w:val="24"/>
                <w:vertAlign w:val="superscript"/>
              </w:rPr>
            </w:pPr>
            <w:r w:rsidRPr="009812B5">
              <w:rPr>
                <w:rFonts w:ascii="Times New Roman" w:hAnsi="Times New Roman" w:cs="Times New Roman"/>
                <w:sz w:val="24"/>
                <w:szCs w:val="24"/>
              </w:rPr>
              <w:lastRenderedPageBreak/>
              <w:t>Control</w:t>
            </w:r>
            <w:r w:rsidRPr="009812B5">
              <w:rPr>
                <w:rFonts w:ascii="Times New Roman" w:hAnsi="Times New Roman" w:cs="Times New Roman"/>
                <w:sz w:val="24"/>
                <w:szCs w:val="24"/>
                <w:vertAlign w:val="superscript"/>
              </w:rPr>
              <w:t>2</w:t>
            </w:r>
          </w:p>
        </w:tc>
        <w:tc>
          <w:tcPr>
            <w:tcW w:w="900" w:type="dxa"/>
            <w:tcBorders>
              <w:top w:val="single" w:sz="4" w:space="0" w:color="auto"/>
              <w:bottom w:val="single" w:sz="4" w:space="0" w:color="auto"/>
            </w:tcBorders>
            <w:vAlign w:val="center"/>
          </w:tcPr>
          <w:p w14:paraId="71887227"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w:t>
            </w:r>
          </w:p>
        </w:tc>
        <w:tc>
          <w:tcPr>
            <w:tcW w:w="1350" w:type="dxa"/>
            <w:tcBorders>
              <w:top w:val="single" w:sz="4" w:space="0" w:color="auto"/>
              <w:bottom w:val="single" w:sz="4" w:space="0" w:color="auto"/>
            </w:tcBorders>
            <w:vAlign w:val="center"/>
          </w:tcPr>
          <w:p w14:paraId="1A9026A6"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4.344</w:t>
            </w:r>
          </w:p>
        </w:tc>
        <w:tc>
          <w:tcPr>
            <w:tcW w:w="1175" w:type="dxa"/>
            <w:tcBorders>
              <w:top w:val="single" w:sz="4" w:space="0" w:color="auto"/>
              <w:bottom w:val="single" w:sz="4" w:space="0" w:color="auto"/>
            </w:tcBorders>
            <w:vAlign w:val="center"/>
          </w:tcPr>
          <w:p w14:paraId="2727781C"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301.2</w:t>
            </w:r>
          </w:p>
        </w:tc>
        <w:tc>
          <w:tcPr>
            <w:tcW w:w="1255" w:type="dxa"/>
            <w:gridSpan w:val="2"/>
            <w:tcBorders>
              <w:top w:val="single" w:sz="4" w:space="0" w:color="auto"/>
              <w:bottom w:val="single" w:sz="4" w:space="0" w:color="auto"/>
            </w:tcBorders>
            <w:vAlign w:val="center"/>
          </w:tcPr>
          <w:p w14:paraId="3037A0CA"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0.860</w:t>
            </w:r>
          </w:p>
        </w:tc>
        <w:tc>
          <w:tcPr>
            <w:tcW w:w="1206" w:type="dxa"/>
            <w:tcBorders>
              <w:top w:val="single" w:sz="4" w:space="0" w:color="auto"/>
              <w:bottom w:val="single" w:sz="4" w:space="0" w:color="auto"/>
            </w:tcBorders>
            <w:vAlign w:val="center"/>
          </w:tcPr>
          <w:p w14:paraId="61203E52"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185.59</w:t>
            </w:r>
          </w:p>
        </w:tc>
        <w:tc>
          <w:tcPr>
            <w:tcW w:w="954" w:type="dxa"/>
            <w:tcBorders>
              <w:top w:val="single" w:sz="4" w:space="0" w:color="auto"/>
              <w:bottom w:val="single" w:sz="4" w:space="0" w:color="auto"/>
            </w:tcBorders>
            <w:vAlign w:val="center"/>
          </w:tcPr>
          <w:p w14:paraId="2D03C0EF"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179.80</w:t>
            </w:r>
          </w:p>
        </w:tc>
        <w:tc>
          <w:tcPr>
            <w:tcW w:w="895" w:type="dxa"/>
            <w:tcBorders>
              <w:top w:val="single" w:sz="4" w:space="0" w:color="auto"/>
              <w:bottom w:val="single" w:sz="4" w:space="0" w:color="auto"/>
            </w:tcBorders>
            <w:vAlign w:val="center"/>
          </w:tcPr>
          <w:p w14:paraId="040D4EF2"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w:t>
            </w:r>
          </w:p>
        </w:tc>
      </w:tr>
      <w:tr w:rsidR="00D65CBA" w:rsidRPr="009812B5" w14:paraId="6E9294CD" w14:textId="77777777" w:rsidTr="00AD679A">
        <w:tc>
          <w:tcPr>
            <w:tcW w:w="1615" w:type="dxa"/>
            <w:vMerge w:val="restart"/>
            <w:tcBorders>
              <w:top w:val="single" w:sz="4" w:space="0" w:color="auto"/>
            </w:tcBorders>
            <w:vAlign w:val="center"/>
          </w:tcPr>
          <w:p w14:paraId="712DC2CD"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L-Arginine</w:t>
            </w:r>
          </w:p>
        </w:tc>
        <w:tc>
          <w:tcPr>
            <w:tcW w:w="900" w:type="dxa"/>
            <w:tcBorders>
              <w:top w:val="single" w:sz="4" w:space="0" w:color="auto"/>
            </w:tcBorders>
            <w:vAlign w:val="center"/>
          </w:tcPr>
          <w:p w14:paraId="039735E7"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0.002</w:t>
            </w:r>
          </w:p>
        </w:tc>
        <w:tc>
          <w:tcPr>
            <w:tcW w:w="1350" w:type="dxa"/>
            <w:tcBorders>
              <w:top w:val="single" w:sz="4" w:space="0" w:color="auto"/>
            </w:tcBorders>
            <w:vAlign w:val="center"/>
          </w:tcPr>
          <w:p w14:paraId="5AFB831B"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4.725</w:t>
            </w:r>
          </w:p>
        </w:tc>
        <w:tc>
          <w:tcPr>
            <w:tcW w:w="1175" w:type="dxa"/>
            <w:tcBorders>
              <w:top w:val="single" w:sz="4" w:space="0" w:color="auto"/>
            </w:tcBorders>
            <w:vAlign w:val="center"/>
          </w:tcPr>
          <w:p w14:paraId="7DE198BE"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338.6</w:t>
            </w:r>
          </w:p>
        </w:tc>
        <w:tc>
          <w:tcPr>
            <w:tcW w:w="1255" w:type="dxa"/>
            <w:gridSpan w:val="2"/>
            <w:tcBorders>
              <w:top w:val="single" w:sz="4" w:space="0" w:color="auto"/>
            </w:tcBorders>
            <w:vAlign w:val="center"/>
          </w:tcPr>
          <w:p w14:paraId="52ADAD7B"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0.869</w:t>
            </w:r>
          </w:p>
        </w:tc>
        <w:tc>
          <w:tcPr>
            <w:tcW w:w="1206" w:type="dxa"/>
            <w:tcBorders>
              <w:top w:val="single" w:sz="4" w:space="0" w:color="auto"/>
            </w:tcBorders>
            <w:vAlign w:val="center"/>
          </w:tcPr>
          <w:p w14:paraId="6BE51648"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222.70</w:t>
            </w:r>
          </w:p>
        </w:tc>
        <w:tc>
          <w:tcPr>
            <w:tcW w:w="954" w:type="dxa"/>
            <w:tcBorders>
              <w:top w:val="single" w:sz="4" w:space="0" w:color="auto"/>
            </w:tcBorders>
            <w:vAlign w:val="center"/>
          </w:tcPr>
          <w:p w14:paraId="4E94B6C0"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181.5</w:t>
            </w:r>
          </w:p>
        </w:tc>
        <w:tc>
          <w:tcPr>
            <w:tcW w:w="895" w:type="dxa"/>
            <w:tcBorders>
              <w:top w:val="single" w:sz="4" w:space="0" w:color="auto"/>
            </w:tcBorders>
            <w:vAlign w:val="center"/>
          </w:tcPr>
          <w:p w14:paraId="3A33C17C"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0.9</w:t>
            </w:r>
          </w:p>
        </w:tc>
      </w:tr>
      <w:tr w:rsidR="00D65CBA" w:rsidRPr="009812B5" w14:paraId="2398FB62" w14:textId="77777777" w:rsidTr="00AD679A">
        <w:tc>
          <w:tcPr>
            <w:tcW w:w="1615" w:type="dxa"/>
            <w:vMerge/>
            <w:tcBorders>
              <w:top w:val="nil"/>
            </w:tcBorders>
            <w:vAlign w:val="center"/>
          </w:tcPr>
          <w:p w14:paraId="086365C0" w14:textId="77777777" w:rsidR="00D65CBA" w:rsidRPr="009812B5" w:rsidRDefault="00D65CBA" w:rsidP="00AD679A">
            <w:pPr>
              <w:spacing w:before="120" w:after="120"/>
              <w:jc w:val="center"/>
              <w:rPr>
                <w:rFonts w:ascii="Times New Roman" w:hAnsi="Times New Roman" w:cs="Times New Roman"/>
                <w:sz w:val="24"/>
                <w:szCs w:val="24"/>
              </w:rPr>
            </w:pPr>
          </w:p>
        </w:tc>
        <w:tc>
          <w:tcPr>
            <w:tcW w:w="900" w:type="dxa"/>
            <w:tcBorders>
              <w:top w:val="nil"/>
            </w:tcBorders>
            <w:vAlign w:val="center"/>
          </w:tcPr>
          <w:p w14:paraId="6843322A"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0.008</w:t>
            </w:r>
          </w:p>
        </w:tc>
        <w:tc>
          <w:tcPr>
            <w:tcW w:w="1350" w:type="dxa"/>
            <w:tcBorders>
              <w:top w:val="nil"/>
            </w:tcBorders>
            <w:vAlign w:val="center"/>
          </w:tcPr>
          <w:p w14:paraId="74E87708"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4.885</w:t>
            </w:r>
          </w:p>
        </w:tc>
        <w:tc>
          <w:tcPr>
            <w:tcW w:w="1175" w:type="dxa"/>
            <w:tcBorders>
              <w:top w:val="nil"/>
            </w:tcBorders>
            <w:vAlign w:val="center"/>
          </w:tcPr>
          <w:p w14:paraId="152B5ED3"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239.93</w:t>
            </w:r>
          </w:p>
        </w:tc>
        <w:tc>
          <w:tcPr>
            <w:tcW w:w="1255" w:type="dxa"/>
            <w:gridSpan w:val="2"/>
            <w:tcBorders>
              <w:top w:val="nil"/>
            </w:tcBorders>
            <w:vAlign w:val="center"/>
          </w:tcPr>
          <w:p w14:paraId="3BE1944D"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0.862</w:t>
            </w:r>
          </w:p>
        </w:tc>
        <w:tc>
          <w:tcPr>
            <w:tcW w:w="1206" w:type="dxa"/>
            <w:tcBorders>
              <w:top w:val="nil"/>
            </w:tcBorders>
            <w:vAlign w:val="center"/>
          </w:tcPr>
          <w:p w14:paraId="58032B08"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147.40</w:t>
            </w:r>
          </w:p>
        </w:tc>
        <w:tc>
          <w:tcPr>
            <w:tcW w:w="954" w:type="dxa"/>
            <w:tcBorders>
              <w:top w:val="nil"/>
            </w:tcBorders>
            <w:vAlign w:val="center"/>
          </w:tcPr>
          <w:p w14:paraId="0C96C2AD"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184.46</w:t>
            </w:r>
          </w:p>
        </w:tc>
        <w:tc>
          <w:tcPr>
            <w:tcW w:w="895" w:type="dxa"/>
            <w:tcBorders>
              <w:top w:val="nil"/>
            </w:tcBorders>
            <w:vAlign w:val="center"/>
          </w:tcPr>
          <w:p w14:paraId="0EB7287D"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2.5</w:t>
            </w:r>
          </w:p>
        </w:tc>
      </w:tr>
      <w:tr w:rsidR="00D65CBA" w:rsidRPr="009812B5" w14:paraId="218E4D48" w14:textId="77777777" w:rsidTr="00AD679A">
        <w:tc>
          <w:tcPr>
            <w:tcW w:w="1615" w:type="dxa"/>
            <w:vMerge/>
            <w:tcBorders>
              <w:top w:val="nil"/>
              <w:bottom w:val="single" w:sz="4" w:space="0" w:color="auto"/>
            </w:tcBorders>
            <w:vAlign w:val="center"/>
          </w:tcPr>
          <w:p w14:paraId="3EF0AC61" w14:textId="77777777" w:rsidR="00D65CBA" w:rsidRPr="009812B5" w:rsidRDefault="00D65CBA" w:rsidP="00AD679A">
            <w:pPr>
              <w:spacing w:before="120" w:after="120"/>
              <w:jc w:val="center"/>
              <w:rPr>
                <w:rFonts w:ascii="Times New Roman" w:hAnsi="Times New Roman" w:cs="Times New Roman"/>
                <w:sz w:val="24"/>
                <w:szCs w:val="24"/>
              </w:rPr>
            </w:pPr>
          </w:p>
        </w:tc>
        <w:tc>
          <w:tcPr>
            <w:tcW w:w="900" w:type="dxa"/>
            <w:tcBorders>
              <w:top w:val="nil"/>
              <w:bottom w:val="single" w:sz="4" w:space="0" w:color="auto"/>
            </w:tcBorders>
            <w:vAlign w:val="center"/>
          </w:tcPr>
          <w:p w14:paraId="3211CD8C"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0.02</w:t>
            </w:r>
          </w:p>
        </w:tc>
        <w:tc>
          <w:tcPr>
            <w:tcW w:w="1350" w:type="dxa"/>
            <w:tcBorders>
              <w:top w:val="nil"/>
              <w:bottom w:val="single" w:sz="4" w:space="0" w:color="auto"/>
            </w:tcBorders>
            <w:vAlign w:val="center"/>
          </w:tcPr>
          <w:p w14:paraId="70073232"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4.241</w:t>
            </w:r>
          </w:p>
        </w:tc>
        <w:tc>
          <w:tcPr>
            <w:tcW w:w="1175" w:type="dxa"/>
            <w:tcBorders>
              <w:top w:val="nil"/>
              <w:bottom w:val="single" w:sz="4" w:space="0" w:color="auto"/>
            </w:tcBorders>
            <w:vAlign w:val="center"/>
          </w:tcPr>
          <w:p w14:paraId="5F1DAD29"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200.37</w:t>
            </w:r>
          </w:p>
        </w:tc>
        <w:tc>
          <w:tcPr>
            <w:tcW w:w="1255" w:type="dxa"/>
            <w:gridSpan w:val="2"/>
            <w:tcBorders>
              <w:top w:val="nil"/>
              <w:bottom w:val="single" w:sz="4" w:space="0" w:color="auto"/>
            </w:tcBorders>
            <w:vAlign w:val="center"/>
          </w:tcPr>
          <w:p w14:paraId="1088E79F"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0.861</w:t>
            </w:r>
          </w:p>
        </w:tc>
        <w:tc>
          <w:tcPr>
            <w:tcW w:w="1206" w:type="dxa"/>
            <w:tcBorders>
              <w:top w:val="nil"/>
              <w:bottom w:val="single" w:sz="4" w:space="0" w:color="auto"/>
            </w:tcBorders>
            <w:vAlign w:val="center"/>
          </w:tcPr>
          <w:p w14:paraId="6F2A7D8D"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128.49</w:t>
            </w:r>
          </w:p>
        </w:tc>
        <w:tc>
          <w:tcPr>
            <w:tcW w:w="954" w:type="dxa"/>
            <w:tcBorders>
              <w:top w:val="nil"/>
              <w:bottom w:val="single" w:sz="4" w:space="0" w:color="auto"/>
            </w:tcBorders>
            <w:vAlign w:val="center"/>
          </w:tcPr>
          <w:p w14:paraId="4C1F6C4E"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282.97</w:t>
            </w:r>
          </w:p>
        </w:tc>
        <w:tc>
          <w:tcPr>
            <w:tcW w:w="895" w:type="dxa"/>
            <w:tcBorders>
              <w:top w:val="nil"/>
              <w:bottom w:val="single" w:sz="4" w:space="0" w:color="auto"/>
            </w:tcBorders>
            <w:vAlign w:val="center"/>
          </w:tcPr>
          <w:p w14:paraId="6C8ABD55"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36.4</w:t>
            </w:r>
          </w:p>
        </w:tc>
      </w:tr>
      <w:tr w:rsidR="00D65CBA" w:rsidRPr="009812B5" w14:paraId="55E1C407" w14:textId="77777777" w:rsidTr="00AD679A">
        <w:tc>
          <w:tcPr>
            <w:tcW w:w="1615" w:type="dxa"/>
            <w:vMerge w:val="restart"/>
            <w:tcBorders>
              <w:top w:val="single" w:sz="4" w:space="0" w:color="auto"/>
            </w:tcBorders>
            <w:vAlign w:val="center"/>
          </w:tcPr>
          <w:p w14:paraId="6B37901B"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L-Glutamic Acid</w:t>
            </w:r>
          </w:p>
        </w:tc>
        <w:tc>
          <w:tcPr>
            <w:tcW w:w="900" w:type="dxa"/>
            <w:tcBorders>
              <w:top w:val="single" w:sz="4" w:space="0" w:color="auto"/>
            </w:tcBorders>
            <w:vAlign w:val="center"/>
          </w:tcPr>
          <w:p w14:paraId="4DA04A8D"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0.002</w:t>
            </w:r>
          </w:p>
        </w:tc>
        <w:tc>
          <w:tcPr>
            <w:tcW w:w="1350" w:type="dxa"/>
            <w:tcBorders>
              <w:top w:val="single" w:sz="4" w:space="0" w:color="auto"/>
            </w:tcBorders>
            <w:vAlign w:val="center"/>
          </w:tcPr>
          <w:p w14:paraId="1958EF0C"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4.771</w:t>
            </w:r>
          </w:p>
        </w:tc>
        <w:tc>
          <w:tcPr>
            <w:tcW w:w="1175" w:type="dxa"/>
            <w:tcBorders>
              <w:top w:val="single" w:sz="4" w:space="0" w:color="auto"/>
            </w:tcBorders>
            <w:vAlign w:val="center"/>
          </w:tcPr>
          <w:p w14:paraId="03D76173"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308.87</w:t>
            </w:r>
          </w:p>
        </w:tc>
        <w:tc>
          <w:tcPr>
            <w:tcW w:w="1255" w:type="dxa"/>
            <w:gridSpan w:val="2"/>
            <w:tcBorders>
              <w:top w:val="single" w:sz="4" w:space="0" w:color="auto"/>
            </w:tcBorders>
            <w:vAlign w:val="center"/>
          </w:tcPr>
          <w:p w14:paraId="78C2343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0.859</w:t>
            </w:r>
          </w:p>
        </w:tc>
        <w:tc>
          <w:tcPr>
            <w:tcW w:w="1206" w:type="dxa"/>
            <w:tcBorders>
              <w:top w:val="single" w:sz="4" w:space="0" w:color="auto"/>
            </w:tcBorders>
            <w:vAlign w:val="center"/>
          </w:tcPr>
          <w:p w14:paraId="4D593D93"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249.27</w:t>
            </w:r>
          </w:p>
        </w:tc>
        <w:tc>
          <w:tcPr>
            <w:tcW w:w="954" w:type="dxa"/>
            <w:tcBorders>
              <w:top w:val="single" w:sz="4" w:space="0" w:color="auto"/>
            </w:tcBorders>
            <w:vAlign w:val="center"/>
          </w:tcPr>
          <w:p w14:paraId="739C215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80.95</w:t>
            </w:r>
          </w:p>
        </w:tc>
        <w:tc>
          <w:tcPr>
            <w:tcW w:w="895" w:type="dxa"/>
            <w:tcBorders>
              <w:top w:val="single" w:sz="4" w:space="0" w:color="auto"/>
            </w:tcBorders>
            <w:vAlign w:val="center"/>
          </w:tcPr>
          <w:p w14:paraId="47B7165D"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-116.7</w:t>
            </w:r>
          </w:p>
        </w:tc>
      </w:tr>
      <w:tr w:rsidR="00D65CBA" w:rsidRPr="009812B5" w14:paraId="5E8D770E" w14:textId="77777777" w:rsidTr="00AD679A">
        <w:tc>
          <w:tcPr>
            <w:tcW w:w="1615" w:type="dxa"/>
            <w:vMerge/>
            <w:tcBorders>
              <w:top w:val="nil"/>
            </w:tcBorders>
            <w:vAlign w:val="center"/>
          </w:tcPr>
          <w:p w14:paraId="512A1D01" w14:textId="77777777" w:rsidR="00D65CBA" w:rsidRPr="009812B5" w:rsidRDefault="00D65CBA" w:rsidP="00AD679A">
            <w:pPr>
              <w:spacing w:before="120" w:after="120"/>
              <w:jc w:val="center"/>
              <w:rPr>
                <w:rFonts w:ascii="Times New Roman" w:hAnsi="Times New Roman" w:cs="Times New Roman"/>
                <w:sz w:val="24"/>
                <w:szCs w:val="24"/>
              </w:rPr>
            </w:pPr>
          </w:p>
        </w:tc>
        <w:tc>
          <w:tcPr>
            <w:tcW w:w="900" w:type="dxa"/>
            <w:tcBorders>
              <w:top w:val="nil"/>
            </w:tcBorders>
            <w:vAlign w:val="center"/>
          </w:tcPr>
          <w:p w14:paraId="57A78EBF"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0.008</w:t>
            </w:r>
          </w:p>
        </w:tc>
        <w:tc>
          <w:tcPr>
            <w:tcW w:w="1350" w:type="dxa"/>
            <w:tcBorders>
              <w:top w:val="nil"/>
            </w:tcBorders>
            <w:vAlign w:val="center"/>
          </w:tcPr>
          <w:p w14:paraId="521C17FE"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5.010</w:t>
            </w:r>
          </w:p>
        </w:tc>
        <w:tc>
          <w:tcPr>
            <w:tcW w:w="1175" w:type="dxa"/>
            <w:tcBorders>
              <w:top w:val="nil"/>
            </w:tcBorders>
            <w:vAlign w:val="center"/>
          </w:tcPr>
          <w:p w14:paraId="1AD1469D"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302.73</w:t>
            </w:r>
          </w:p>
        </w:tc>
        <w:tc>
          <w:tcPr>
            <w:tcW w:w="1255" w:type="dxa"/>
            <w:gridSpan w:val="2"/>
            <w:tcBorders>
              <w:top w:val="nil"/>
            </w:tcBorders>
            <w:vAlign w:val="center"/>
          </w:tcPr>
          <w:p w14:paraId="698EB89E"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0.881</w:t>
            </w:r>
          </w:p>
        </w:tc>
        <w:tc>
          <w:tcPr>
            <w:tcW w:w="1206" w:type="dxa"/>
            <w:tcBorders>
              <w:top w:val="nil"/>
            </w:tcBorders>
            <w:vAlign w:val="center"/>
          </w:tcPr>
          <w:p w14:paraId="234D7F75"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190.84</w:t>
            </w:r>
          </w:p>
        </w:tc>
        <w:tc>
          <w:tcPr>
            <w:tcW w:w="954" w:type="dxa"/>
            <w:tcBorders>
              <w:top w:val="nil"/>
            </w:tcBorders>
            <w:vAlign w:val="center"/>
          </w:tcPr>
          <w:p w14:paraId="6F1F8138"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108.13</w:t>
            </w:r>
          </w:p>
        </w:tc>
        <w:tc>
          <w:tcPr>
            <w:tcW w:w="895" w:type="dxa"/>
            <w:tcBorders>
              <w:top w:val="nil"/>
            </w:tcBorders>
            <w:vAlign w:val="center"/>
          </w:tcPr>
          <w:p w14:paraId="26AD39C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-62.2</w:t>
            </w:r>
          </w:p>
        </w:tc>
      </w:tr>
      <w:tr w:rsidR="00D65CBA" w:rsidRPr="009812B5" w14:paraId="601F753F" w14:textId="77777777" w:rsidTr="00AD679A">
        <w:tc>
          <w:tcPr>
            <w:tcW w:w="1615" w:type="dxa"/>
            <w:vMerge/>
            <w:tcBorders>
              <w:top w:val="nil"/>
              <w:bottom w:val="single" w:sz="4" w:space="0" w:color="auto"/>
            </w:tcBorders>
            <w:vAlign w:val="center"/>
          </w:tcPr>
          <w:p w14:paraId="741D3B09" w14:textId="77777777" w:rsidR="00D65CBA" w:rsidRPr="009812B5" w:rsidRDefault="00D65CBA" w:rsidP="00AD679A">
            <w:pPr>
              <w:spacing w:before="120" w:after="120"/>
              <w:jc w:val="center"/>
              <w:rPr>
                <w:rFonts w:ascii="Times New Roman" w:hAnsi="Times New Roman" w:cs="Times New Roman"/>
                <w:sz w:val="24"/>
                <w:szCs w:val="24"/>
              </w:rPr>
            </w:pPr>
          </w:p>
        </w:tc>
        <w:tc>
          <w:tcPr>
            <w:tcW w:w="900" w:type="dxa"/>
            <w:tcBorders>
              <w:top w:val="nil"/>
              <w:bottom w:val="single" w:sz="4" w:space="0" w:color="auto"/>
            </w:tcBorders>
            <w:vAlign w:val="center"/>
          </w:tcPr>
          <w:p w14:paraId="206EB824"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0.02</w:t>
            </w:r>
          </w:p>
        </w:tc>
        <w:tc>
          <w:tcPr>
            <w:tcW w:w="1350" w:type="dxa"/>
            <w:tcBorders>
              <w:top w:val="nil"/>
              <w:bottom w:val="single" w:sz="4" w:space="0" w:color="auto"/>
            </w:tcBorders>
            <w:vAlign w:val="center"/>
          </w:tcPr>
          <w:p w14:paraId="529AF7E5"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4.592</w:t>
            </w:r>
          </w:p>
        </w:tc>
        <w:tc>
          <w:tcPr>
            <w:tcW w:w="1175" w:type="dxa"/>
            <w:tcBorders>
              <w:top w:val="nil"/>
              <w:bottom w:val="single" w:sz="4" w:space="0" w:color="auto"/>
            </w:tcBorders>
            <w:vAlign w:val="center"/>
          </w:tcPr>
          <w:p w14:paraId="1E24FC96"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409.7</w:t>
            </w:r>
          </w:p>
        </w:tc>
        <w:tc>
          <w:tcPr>
            <w:tcW w:w="1255" w:type="dxa"/>
            <w:gridSpan w:val="2"/>
            <w:tcBorders>
              <w:top w:val="nil"/>
              <w:bottom w:val="single" w:sz="4" w:space="0" w:color="auto"/>
            </w:tcBorders>
            <w:vAlign w:val="center"/>
          </w:tcPr>
          <w:p w14:paraId="0BFACBA8"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0.878</w:t>
            </w:r>
          </w:p>
        </w:tc>
        <w:tc>
          <w:tcPr>
            <w:tcW w:w="1206" w:type="dxa"/>
            <w:tcBorders>
              <w:top w:val="nil"/>
              <w:bottom w:val="single" w:sz="4" w:space="0" w:color="auto"/>
            </w:tcBorders>
            <w:vAlign w:val="center"/>
          </w:tcPr>
          <w:p w14:paraId="2F63923F"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187.74</w:t>
            </w:r>
          </w:p>
        </w:tc>
        <w:tc>
          <w:tcPr>
            <w:tcW w:w="954" w:type="dxa"/>
            <w:tcBorders>
              <w:top w:val="nil"/>
              <w:bottom w:val="single" w:sz="4" w:space="0" w:color="auto"/>
            </w:tcBorders>
            <w:vAlign w:val="center"/>
          </w:tcPr>
          <w:p w14:paraId="19EE46CB"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118.38</w:t>
            </w:r>
          </w:p>
        </w:tc>
        <w:tc>
          <w:tcPr>
            <w:tcW w:w="895" w:type="dxa"/>
            <w:tcBorders>
              <w:top w:val="nil"/>
              <w:bottom w:val="single" w:sz="4" w:space="0" w:color="auto"/>
            </w:tcBorders>
            <w:vAlign w:val="center"/>
          </w:tcPr>
          <w:p w14:paraId="651E8D4B"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-48.2</w:t>
            </w:r>
          </w:p>
        </w:tc>
      </w:tr>
      <w:tr w:rsidR="00D65CBA" w:rsidRPr="009812B5" w14:paraId="1643AB39" w14:textId="77777777" w:rsidTr="00AD679A">
        <w:tc>
          <w:tcPr>
            <w:tcW w:w="1615" w:type="dxa"/>
            <w:vMerge w:val="restart"/>
            <w:tcBorders>
              <w:top w:val="single" w:sz="4" w:space="0" w:color="auto"/>
            </w:tcBorders>
            <w:vAlign w:val="center"/>
          </w:tcPr>
          <w:p w14:paraId="31E1ED85"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L-Threonine</w:t>
            </w:r>
          </w:p>
        </w:tc>
        <w:tc>
          <w:tcPr>
            <w:tcW w:w="900" w:type="dxa"/>
            <w:tcBorders>
              <w:top w:val="single" w:sz="4" w:space="0" w:color="auto"/>
            </w:tcBorders>
            <w:vAlign w:val="center"/>
          </w:tcPr>
          <w:p w14:paraId="4361D5EB"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0.002</w:t>
            </w:r>
          </w:p>
        </w:tc>
        <w:tc>
          <w:tcPr>
            <w:tcW w:w="1350" w:type="dxa"/>
            <w:tcBorders>
              <w:top w:val="single" w:sz="4" w:space="0" w:color="auto"/>
            </w:tcBorders>
            <w:vAlign w:val="center"/>
          </w:tcPr>
          <w:p w14:paraId="1B58609B"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4.658</w:t>
            </w:r>
          </w:p>
        </w:tc>
        <w:tc>
          <w:tcPr>
            <w:tcW w:w="1175" w:type="dxa"/>
            <w:tcBorders>
              <w:top w:val="single" w:sz="4" w:space="0" w:color="auto"/>
            </w:tcBorders>
            <w:vAlign w:val="center"/>
          </w:tcPr>
          <w:p w14:paraId="287ED1AF"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421.7</w:t>
            </w:r>
          </w:p>
        </w:tc>
        <w:tc>
          <w:tcPr>
            <w:tcW w:w="1255" w:type="dxa"/>
            <w:gridSpan w:val="2"/>
            <w:tcBorders>
              <w:top w:val="single" w:sz="4" w:space="0" w:color="auto"/>
            </w:tcBorders>
            <w:vAlign w:val="center"/>
          </w:tcPr>
          <w:p w14:paraId="243EE2F8"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0.853</w:t>
            </w:r>
          </w:p>
        </w:tc>
        <w:tc>
          <w:tcPr>
            <w:tcW w:w="1206" w:type="dxa"/>
            <w:tcBorders>
              <w:top w:val="single" w:sz="4" w:space="0" w:color="auto"/>
            </w:tcBorders>
            <w:vAlign w:val="center"/>
          </w:tcPr>
          <w:p w14:paraId="1B960702"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245.47</w:t>
            </w:r>
          </w:p>
        </w:tc>
        <w:tc>
          <w:tcPr>
            <w:tcW w:w="954" w:type="dxa"/>
            <w:tcBorders>
              <w:top w:val="single" w:sz="4" w:space="0" w:color="auto"/>
            </w:tcBorders>
            <w:vAlign w:val="center"/>
          </w:tcPr>
          <w:p w14:paraId="65979311"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85.07</w:t>
            </w:r>
          </w:p>
        </w:tc>
        <w:tc>
          <w:tcPr>
            <w:tcW w:w="895" w:type="dxa"/>
            <w:tcBorders>
              <w:top w:val="single" w:sz="4" w:space="0" w:color="auto"/>
            </w:tcBorders>
            <w:vAlign w:val="center"/>
          </w:tcPr>
          <w:p w14:paraId="02F1EDFD"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-106.2</w:t>
            </w:r>
          </w:p>
        </w:tc>
      </w:tr>
      <w:tr w:rsidR="00D65CBA" w:rsidRPr="009812B5" w14:paraId="11D88793" w14:textId="77777777" w:rsidTr="00AD679A">
        <w:tc>
          <w:tcPr>
            <w:tcW w:w="1615" w:type="dxa"/>
            <w:vMerge/>
            <w:tcBorders>
              <w:top w:val="nil"/>
            </w:tcBorders>
            <w:vAlign w:val="center"/>
          </w:tcPr>
          <w:p w14:paraId="3D0C78E9" w14:textId="77777777" w:rsidR="00D65CBA" w:rsidRPr="009812B5" w:rsidRDefault="00D65CBA" w:rsidP="00AD679A">
            <w:pPr>
              <w:spacing w:before="120" w:after="120"/>
              <w:jc w:val="center"/>
              <w:rPr>
                <w:rFonts w:ascii="Times New Roman" w:hAnsi="Times New Roman" w:cs="Times New Roman"/>
                <w:sz w:val="24"/>
                <w:szCs w:val="24"/>
              </w:rPr>
            </w:pPr>
          </w:p>
        </w:tc>
        <w:tc>
          <w:tcPr>
            <w:tcW w:w="900" w:type="dxa"/>
            <w:tcBorders>
              <w:top w:val="nil"/>
            </w:tcBorders>
            <w:vAlign w:val="center"/>
          </w:tcPr>
          <w:p w14:paraId="22874CE7"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0.008</w:t>
            </w:r>
          </w:p>
        </w:tc>
        <w:tc>
          <w:tcPr>
            <w:tcW w:w="1350" w:type="dxa"/>
            <w:tcBorders>
              <w:top w:val="nil"/>
            </w:tcBorders>
            <w:vAlign w:val="center"/>
          </w:tcPr>
          <w:p w14:paraId="3B9DED9E"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4.989</w:t>
            </w:r>
          </w:p>
        </w:tc>
        <w:tc>
          <w:tcPr>
            <w:tcW w:w="1175" w:type="dxa"/>
            <w:tcBorders>
              <w:top w:val="nil"/>
            </w:tcBorders>
            <w:vAlign w:val="center"/>
          </w:tcPr>
          <w:p w14:paraId="34B1ACFA"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261.90</w:t>
            </w:r>
          </w:p>
        </w:tc>
        <w:tc>
          <w:tcPr>
            <w:tcW w:w="1255" w:type="dxa"/>
            <w:gridSpan w:val="2"/>
            <w:tcBorders>
              <w:top w:val="nil"/>
            </w:tcBorders>
            <w:vAlign w:val="center"/>
          </w:tcPr>
          <w:p w14:paraId="1F45BFD9"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0.881</w:t>
            </w:r>
          </w:p>
        </w:tc>
        <w:tc>
          <w:tcPr>
            <w:tcW w:w="1206" w:type="dxa"/>
            <w:tcBorders>
              <w:top w:val="nil"/>
            </w:tcBorders>
            <w:vAlign w:val="center"/>
          </w:tcPr>
          <w:p w14:paraId="51DDB72E"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171.61</w:t>
            </w:r>
          </w:p>
        </w:tc>
        <w:tc>
          <w:tcPr>
            <w:tcW w:w="954" w:type="dxa"/>
            <w:tcBorders>
              <w:top w:val="nil"/>
            </w:tcBorders>
            <w:vAlign w:val="center"/>
          </w:tcPr>
          <w:p w14:paraId="41C94743"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165.51</w:t>
            </w:r>
          </w:p>
        </w:tc>
        <w:tc>
          <w:tcPr>
            <w:tcW w:w="895" w:type="dxa"/>
            <w:tcBorders>
              <w:top w:val="nil"/>
            </w:tcBorders>
            <w:vAlign w:val="center"/>
          </w:tcPr>
          <w:p w14:paraId="61BFB03A"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-6.0</w:t>
            </w:r>
          </w:p>
        </w:tc>
      </w:tr>
      <w:tr w:rsidR="00D65CBA" w:rsidRPr="009812B5" w14:paraId="71A9ACC9" w14:textId="77777777" w:rsidTr="00AD679A">
        <w:tc>
          <w:tcPr>
            <w:tcW w:w="1615" w:type="dxa"/>
            <w:vMerge/>
            <w:tcBorders>
              <w:top w:val="nil"/>
              <w:bottom w:val="single" w:sz="4" w:space="0" w:color="auto"/>
            </w:tcBorders>
            <w:vAlign w:val="center"/>
          </w:tcPr>
          <w:p w14:paraId="3AD5D876" w14:textId="77777777" w:rsidR="00D65CBA" w:rsidRPr="009812B5" w:rsidRDefault="00D65CBA" w:rsidP="00AD679A">
            <w:pPr>
              <w:spacing w:before="120" w:after="120"/>
              <w:jc w:val="center"/>
              <w:rPr>
                <w:rFonts w:ascii="Times New Roman" w:hAnsi="Times New Roman" w:cs="Times New Roman"/>
                <w:sz w:val="24"/>
                <w:szCs w:val="24"/>
              </w:rPr>
            </w:pPr>
          </w:p>
        </w:tc>
        <w:tc>
          <w:tcPr>
            <w:tcW w:w="900" w:type="dxa"/>
            <w:tcBorders>
              <w:top w:val="nil"/>
              <w:bottom w:val="single" w:sz="4" w:space="0" w:color="auto"/>
            </w:tcBorders>
            <w:vAlign w:val="center"/>
          </w:tcPr>
          <w:p w14:paraId="38DDFA57"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0.02</w:t>
            </w:r>
          </w:p>
        </w:tc>
        <w:tc>
          <w:tcPr>
            <w:tcW w:w="1350" w:type="dxa"/>
            <w:tcBorders>
              <w:top w:val="nil"/>
              <w:bottom w:val="single" w:sz="4" w:space="0" w:color="auto"/>
            </w:tcBorders>
            <w:vAlign w:val="center"/>
          </w:tcPr>
          <w:p w14:paraId="36D99C6B"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4.976</w:t>
            </w:r>
          </w:p>
        </w:tc>
        <w:tc>
          <w:tcPr>
            <w:tcW w:w="1175" w:type="dxa"/>
            <w:tcBorders>
              <w:top w:val="nil"/>
              <w:bottom w:val="single" w:sz="4" w:space="0" w:color="auto"/>
            </w:tcBorders>
            <w:vAlign w:val="center"/>
          </w:tcPr>
          <w:p w14:paraId="55529348"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261.73</w:t>
            </w:r>
          </w:p>
        </w:tc>
        <w:tc>
          <w:tcPr>
            <w:tcW w:w="1255" w:type="dxa"/>
            <w:gridSpan w:val="2"/>
            <w:tcBorders>
              <w:top w:val="nil"/>
              <w:bottom w:val="single" w:sz="4" w:space="0" w:color="auto"/>
            </w:tcBorders>
            <w:vAlign w:val="center"/>
          </w:tcPr>
          <w:p w14:paraId="5BE905E6"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0.852</w:t>
            </w:r>
          </w:p>
        </w:tc>
        <w:tc>
          <w:tcPr>
            <w:tcW w:w="1206" w:type="dxa"/>
            <w:tcBorders>
              <w:top w:val="nil"/>
              <w:bottom w:val="single" w:sz="4" w:space="0" w:color="auto"/>
            </w:tcBorders>
            <w:vAlign w:val="center"/>
          </w:tcPr>
          <w:p w14:paraId="1594331B"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149.42</w:t>
            </w:r>
          </w:p>
        </w:tc>
        <w:tc>
          <w:tcPr>
            <w:tcW w:w="954" w:type="dxa"/>
            <w:tcBorders>
              <w:top w:val="nil"/>
              <w:bottom w:val="single" w:sz="4" w:space="0" w:color="auto"/>
            </w:tcBorders>
            <w:vAlign w:val="center"/>
          </w:tcPr>
          <w:p w14:paraId="71795185"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178.23</w:t>
            </w:r>
          </w:p>
        </w:tc>
        <w:tc>
          <w:tcPr>
            <w:tcW w:w="895" w:type="dxa"/>
            <w:tcBorders>
              <w:top w:val="nil"/>
              <w:bottom w:val="single" w:sz="4" w:space="0" w:color="auto"/>
            </w:tcBorders>
            <w:vAlign w:val="center"/>
          </w:tcPr>
          <w:p w14:paraId="56395CCB" w14:textId="77777777" w:rsidR="00D65CBA" w:rsidRPr="009812B5" w:rsidRDefault="00D65CBA" w:rsidP="00AD679A">
            <w:pPr>
              <w:spacing w:before="120" w:after="120"/>
              <w:jc w:val="center"/>
              <w:rPr>
                <w:rFonts w:ascii="Times New Roman" w:hAnsi="Times New Roman" w:cs="Times New Roman"/>
                <w:sz w:val="24"/>
                <w:szCs w:val="24"/>
              </w:rPr>
            </w:pPr>
            <w:r w:rsidRPr="009812B5">
              <w:rPr>
                <w:rFonts w:ascii="Times New Roman" w:hAnsi="Times New Roman" w:cs="Times New Roman"/>
                <w:sz w:val="24"/>
                <w:szCs w:val="24"/>
              </w:rPr>
              <w:t>1.6</w:t>
            </w:r>
          </w:p>
        </w:tc>
      </w:tr>
    </w:tbl>
    <w:p w14:paraId="1556A172" w14:textId="77777777" w:rsidR="00D65CBA" w:rsidRPr="009812B5"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Control</w:t>
      </w:r>
      <w:r w:rsidRPr="009812B5">
        <w:rPr>
          <w:rFonts w:ascii="Times New Roman" w:hAnsi="Times New Roman" w:cs="Times New Roman"/>
          <w:sz w:val="24"/>
          <w:szCs w:val="24"/>
          <w:vertAlign w:val="superscript"/>
        </w:rPr>
        <w:t>1</w:t>
      </w:r>
      <w:r w:rsidRPr="009812B5">
        <w:rPr>
          <w:rFonts w:ascii="Times New Roman" w:hAnsi="Times New Roman" w:cs="Times New Roman"/>
          <w:sz w:val="24"/>
          <w:szCs w:val="24"/>
        </w:rPr>
        <w:t>: Control samples polished with SiC paper up to #1200</w:t>
      </w:r>
      <w:r w:rsidRPr="009812B5">
        <w:rPr>
          <w:rFonts w:ascii="Times New Roman" w:hAnsi="Times New Roman" w:cs="Times New Roman"/>
          <w:sz w:val="24"/>
          <w:szCs w:val="24"/>
        </w:rPr>
        <w:br/>
        <w:t>Control</w:t>
      </w:r>
      <w:r w:rsidRPr="009812B5">
        <w:rPr>
          <w:rFonts w:ascii="Times New Roman" w:hAnsi="Times New Roman" w:cs="Times New Roman"/>
          <w:sz w:val="24"/>
          <w:szCs w:val="24"/>
          <w:vertAlign w:val="superscript"/>
        </w:rPr>
        <w:t>2</w:t>
      </w:r>
      <w:r w:rsidRPr="009812B5">
        <w:rPr>
          <w:rFonts w:ascii="Times New Roman" w:hAnsi="Times New Roman" w:cs="Times New Roman"/>
          <w:sz w:val="24"/>
          <w:szCs w:val="24"/>
        </w:rPr>
        <w:t>: Control samples polished with SiC paper up to #600</w:t>
      </w:r>
    </w:p>
    <w:p w14:paraId="377C40CC" w14:textId="77777777" w:rsidR="00D65CBA" w:rsidRPr="009812B5"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On the contrary, the results for L-Glutamic Acid and Threonine showed that the presence of these amino acids in the solution reduced the charge transfer resistance (R</w:t>
      </w:r>
      <w:r w:rsidRPr="009812B5">
        <w:rPr>
          <w:rFonts w:ascii="Times New Roman" w:hAnsi="Times New Roman" w:cs="Times New Roman"/>
          <w:sz w:val="24"/>
          <w:szCs w:val="24"/>
          <w:vertAlign w:val="subscript"/>
        </w:rPr>
        <w:t>ct</w:t>
      </w:r>
      <w:r w:rsidRPr="009812B5">
        <w:rPr>
          <w:rFonts w:ascii="Times New Roman" w:hAnsi="Times New Roman" w:cs="Times New Roman"/>
          <w:sz w:val="24"/>
          <w:szCs w:val="24"/>
        </w:rPr>
        <w:t>) even at the small concentration. For the Glutamic Acid and Threonine, R</w:t>
      </w:r>
      <w:r w:rsidRPr="009812B5">
        <w:rPr>
          <w:rFonts w:ascii="Times New Roman" w:hAnsi="Times New Roman" w:cs="Times New Roman"/>
          <w:sz w:val="24"/>
          <w:szCs w:val="24"/>
          <w:vertAlign w:val="subscript"/>
        </w:rPr>
        <w:t>ct</w:t>
      </w:r>
      <w:r w:rsidRPr="009812B5">
        <w:rPr>
          <w:rFonts w:ascii="Times New Roman" w:hAnsi="Times New Roman" w:cs="Times New Roman"/>
          <w:sz w:val="24"/>
          <w:szCs w:val="24"/>
        </w:rPr>
        <w:t xml:space="preserve"> values were reduced from 179.80 ohm.cm</w:t>
      </w:r>
      <w:r w:rsidRPr="009812B5">
        <w:rPr>
          <w:rFonts w:ascii="Times New Roman" w:hAnsi="Times New Roman" w:cs="Times New Roman"/>
          <w:sz w:val="24"/>
          <w:szCs w:val="24"/>
          <w:vertAlign w:val="superscript"/>
        </w:rPr>
        <w:t>2</w:t>
      </w:r>
      <w:r w:rsidRPr="009812B5">
        <w:rPr>
          <w:rFonts w:ascii="Times New Roman" w:hAnsi="Times New Roman" w:cs="Times New Roman"/>
          <w:sz w:val="24"/>
          <w:szCs w:val="24"/>
        </w:rPr>
        <w:t xml:space="preserve"> in without inhibitor to 80.95 and 85.07 ohm.cm</w:t>
      </w:r>
      <w:r w:rsidRPr="009812B5">
        <w:rPr>
          <w:rFonts w:ascii="Times New Roman" w:hAnsi="Times New Roman" w:cs="Times New Roman"/>
          <w:sz w:val="24"/>
          <w:szCs w:val="24"/>
          <w:vertAlign w:val="superscript"/>
        </w:rPr>
        <w:t>2</w:t>
      </w:r>
      <w:r w:rsidRPr="009812B5">
        <w:rPr>
          <w:rFonts w:ascii="Times New Roman" w:hAnsi="Times New Roman" w:cs="Times New Roman"/>
          <w:sz w:val="24"/>
          <w:szCs w:val="24"/>
        </w:rPr>
        <w:t xml:space="preserve"> in concentration of 0.002% wt of the inhibitors respectively. Thus, it may be concluded that both Glutamic Acid and Threonine cannot impede the interfacial corrosion reaction of mild steel in 0.5 M HCl by forming any resistive layer on the metal surface. This indicates that those amino acids stimulate the corrosion reaction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{"citationID":"i7JNdiJY","properties":{"formattedCitation":"(Oguzie et al., 2007)","plainCitation":"(Oguzie et al., 2007)","noteIndex":0},"citationItems":[{"id":32,"uris":["http://zotero.org/users/13853408/items/PX3HE54A"],"itemData":{"id":32,"type":"article-journal","abstract":"The effect of cysteine (cys) on the corrosion of low carbon steel (LCS) in sulphuric acid solution was investigated using electrochemical and scanning electron microscopy (SEM) techniques. Electrochemical impedance spectroscopy (EIS) results reveal that the presence of cys at low concentrations (0.1–0.5 mmol L−1) promoted the LCS corrosion process, whereas an inhibiting effect was observed at higher concentrations (1.0–5.0 mmol L−1), which was enhanced on deaeration of the test solution. Polarization results revealed that cys actually inhibited the cathodic process at all concentration but exerted a stimulating effect on the anodic metal dissolution reaction. Despite the cathodic inhibiting effect, the polarization resistances at low cys concentrations were less than that in the blank acid. This suggests that the anodic reaction was the predominant inﬂuence determining the corrosion rates in the presence of cys. This has been discussed vis-a`-vis the catalytic effect of the Fe–cys complex, which turns the Fe surface more electrochemically active.","container-title":"Electrochimica Acta","DOI":"10.1016/j.electacta.2007.07.076","ISSN":"00134686","issue":"2","journalAbbreviation":"Electrochimica Acta","language":"en","page":"909-914","source":"DOI.org (Crossref)","title":"Effect of 2-amino-3-mercaptopropanoic acid (cysteine) on the corrosion behaviour of low carbon steel in sulphuric acid","volume":"53","author":[{"family":"Oguzie","given":"E.E."},{"family":"Li","given":"Y."},{"family":"Wang","given":"F.H."}],"issued":{"date-parts":[["2007",12]]}}}],"schema":"https://github.com/citation-style-language/schema/raw/master/csl-citation.json"}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(Oguzie et al., 2007)</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However, as the concentration of both inhibitors increased the value of charge transfer resistance also increased. Moreover, the C</w:t>
      </w:r>
      <w:r w:rsidRPr="009812B5">
        <w:rPr>
          <w:rFonts w:ascii="Times New Roman" w:hAnsi="Times New Roman" w:cs="Times New Roman"/>
          <w:sz w:val="24"/>
          <w:szCs w:val="24"/>
          <w:vertAlign w:val="subscript"/>
        </w:rPr>
        <w:t>dl</w:t>
      </w:r>
      <w:r w:rsidRPr="009812B5">
        <w:rPr>
          <w:rFonts w:ascii="Times New Roman" w:hAnsi="Times New Roman" w:cs="Times New Roman"/>
          <w:sz w:val="24"/>
          <w:szCs w:val="24"/>
        </w:rPr>
        <w:t xml:space="preserve"> values decreased with increasing concentration, which suggests that Glutamic Acid and Threonine were adsorbed on the electrode surface at all concentrations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{"citationID":"WCHP9iby","properties":{"formattedCitation":"(Oguzie et al., 2007)","plainCitation":"(Oguzie et al., 2007)","noteIndex":0},"citationItems":[{"id":32,"uris":["http://zotero.org/users/13853408/items/PX3HE54A"],"itemData":{"id":32,"type":"article-journal","abstract":"The effect of cysteine (cys) on the corrosion of low carbon steel (LCS) in sulphuric acid solution was investigated using electrochemical and scanning electron microscopy (SEM) techniques. Electrochemical impedance spectroscopy (EIS) results reveal that the presence of cys at low concentrations (0.1–0.5 mmol L−1) promoted the LCS corrosion process, whereas an inhibiting effect was observed at higher concentrations (1.0–5.0 mmol L−1), which was enhanced on deaeration of the test solution. Polarization results revealed that cys actually inhibited the cathodic process at all concentration but exerted a stimulating effect on the anodic metal dissolution reaction. Despite the cathodic inhibiting effect, the polarization resistances at low cys concentrations were less than that in the blank acid. This suggests that the anodic reaction was the predominant inﬂuence determining the corrosion rates in the presence of cys. This has been discussed vis-a`-vis the catalytic effect of the Fe–cys complex, which turns the Fe surface more electrochemically active.","container-title":"Electrochimica Acta","DOI":"10.1016/j.electacta.2007.07.076","ISSN":"00134686","issue":"2","journalAbbreviation":"Electrochimica Acta","language":"en","page":"909-914","source":"DOI.org (Crossref)","title":"Effect of 2-amino-3-mercaptopropanoic acid (cysteine) on the corrosion behaviour of low carbon steel in sulphuric acid","volume":"53","author":[{"family":"Oguzie","given":"E.E."},{"family":"Li","given":"Y."},{"family":"Wang","given":"F.H."}],"issued":{"date-parts":[["2007",12]]}}}],"schema":"https://github.com/citation-style-language/schema/raw/master/csl-citation.json"}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(Oguzie et al., 2007)</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xml:space="preserve">. </w:t>
      </w:r>
    </w:p>
    <w:p w14:paraId="34CE964C" w14:textId="77777777" w:rsidR="00D65CBA" w:rsidRPr="009812B5"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The increase in C</w:t>
      </w:r>
      <w:r w:rsidRPr="009812B5">
        <w:rPr>
          <w:rFonts w:ascii="Times New Roman" w:hAnsi="Times New Roman" w:cs="Times New Roman"/>
          <w:sz w:val="24"/>
          <w:szCs w:val="24"/>
          <w:vertAlign w:val="subscript"/>
        </w:rPr>
        <w:t>dl</w:t>
      </w:r>
      <w:r w:rsidRPr="009812B5">
        <w:rPr>
          <w:rFonts w:ascii="Times New Roman" w:hAnsi="Times New Roman" w:cs="Times New Roman"/>
          <w:sz w:val="24"/>
          <w:szCs w:val="24"/>
        </w:rPr>
        <w:t xml:space="preserve"> values, for comparison of control and Glutamic Acid / Threonine treated cases, may be considered in terms of the Helmholtz model:</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D65CBA" w:rsidRPr="009812B5" w14:paraId="38AEE4BF" w14:textId="77777777" w:rsidTr="00AD679A">
        <w:tc>
          <w:tcPr>
            <w:tcW w:w="4675" w:type="dxa"/>
            <w:vAlign w:val="center"/>
          </w:tcPr>
          <w:p w14:paraId="7468A052" w14:textId="77777777" w:rsidR="00D65CBA" w:rsidRPr="006C0A93" w:rsidRDefault="00000000" w:rsidP="00AD679A">
            <w:pPr>
              <w:autoSpaceDE w:val="0"/>
              <w:autoSpaceDN w:val="0"/>
              <w:adjustRightInd w:val="0"/>
              <w:spacing w:before="120" w:after="120" w:line="276" w:lineRule="auto"/>
              <w:rPr>
                <w:rFonts w:ascii="Times New Roman" w:eastAsiaTheme="minorEastAsia" w:hAnsi="Times New Roman" w:cs="Times New Roman"/>
                <w:sz w:val="24"/>
                <w:szCs w:val="24"/>
                <w:highlight w:val="magenta"/>
              </w:rPr>
            </w:pPr>
            <m:oMathPara>
              <m:oMathParaPr>
                <m:jc m:val="left"/>
              </m:oMathParaPr>
              <m:oMath>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C</m:t>
                    </m:r>
                  </m:e>
                  <m:sub>
                    <m:r>
                      <m:rPr>
                        <m:nor/>
                      </m:rPr>
                      <w:rPr>
                        <w:rFonts w:ascii="Times New Roman" w:eastAsiaTheme="minorEastAsia" w:hAnsi="Times New Roman" w:cs="Times New Roman"/>
                        <w:sz w:val="24"/>
                        <w:szCs w:val="24"/>
                      </w:rPr>
                      <m:t>dl</m:t>
                    </m:r>
                  </m:sub>
                </m:sSub>
                <m:r>
                  <m:rPr>
                    <m:nor/>
                  </m:rPr>
                  <w:rPr>
                    <w:rFonts w:ascii="Times New Roman" w:eastAsiaTheme="minorEastAsia" w:hAnsi="Times New Roman" w:cs="Times New Roman"/>
                    <w:sz w:val="24"/>
                    <w:szCs w:val="24"/>
                  </w:rPr>
                  <m:t>=</m:t>
                </m:r>
                <m:f>
                  <m:fPr>
                    <m:ctrlPr>
                      <w:rPr>
                        <w:rFonts w:ascii="Cambria Math" w:eastAsiaTheme="minorEastAsia" w:hAnsi="Cambria Math" w:cs="Times New Roman"/>
                        <w:sz w:val="24"/>
                        <w:szCs w:val="24"/>
                      </w:rPr>
                    </m:ctrlPr>
                  </m:fPr>
                  <m:num>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ε</m:t>
                        </m:r>
                      </m:e>
                      <m:sub>
                        <m:r>
                          <m:rPr>
                            <m:nor/>
                          </m:rPr>
                          <w:rPr>
                            <w:rFonts w:ascii="Times New Roman" w:eastAsiaTheme="minorEastAsia" w:hAnsi="Times New Roman" w:cs="Times New Roman"/>
                            <w:sz w:val="24"/>
                            <w:szCs w:val="24"/>
                          </w:rPr>
                          <m:t>0</m:t>
                        </m:r>
                      </m:sub>
                    </m:sSub>
                    <m:r>
                      <m:rPr>
                        <m:nor/>
                      </m:rPr>
                      <w:rPr>
                        <w:rFonts w:ascii="Times New Roman" w:eastAsiaTheme="minorEastAsia" w:hAnsi="Times New Roman" w:cs="Times New Roman"/>
                        <w:sz w:val="24"/>
                        <w:szCs w:val="24"/>
                      </w:rPr>
                      <m:t>ε</m:t>
                    </m:r>
                  </m:num>
                  <m:den>
                    <m:r>
                      <m:rPr>
                        <m:nor/>
                      </m:rPr>
                      <w:rPr>
                        <w:rFonts w:ascii="Times New Roman" w:eastAsiaTheme="minorEastAsia" w:hAnsi="Times New Roman" w:cs="Times New Roman"/>
                        <w:sz w:val="24"/>
                        <w:szCs w:val="24"/>
                      </w:rPr>
                      <m:t>d</m:t>
                    </m:r>
                  </m:den>
                </m:f>
                <m:r>
                  <m:rPr>
                    <m:nor/>
                  </m:rPr>
                  <w:rPr>
                    <w:rFonts w:ascii="Times New Roman" w:eastAsiaTheme="minorEastAsia" w:hAnsi="Times New Roman" w:cs="Times New Roman"/>
                    <w:sz w:val="24"/>
                    <w:szCs w:val="24"/>
                  </w:rPr>
                  <m:t>A</m:t>
                </m:r>
              </m:oMath>
            </m:oMathPara>
          </w:p>
        </w:tc>
        <w:tc>
          <w:tcPr>
            <w:tcW w:w="4675" w:type="dxa"/>
            <w:vAlign w:val="center"/>
          </w:tcPr>
          <w:p w14:paraId="6CDB6B43" w14:textId="77777777" w:rsidR="00D65CBA" w:rsidRPr="009812B5" w:rsidRDefault="00D65CBA" w:rsidP="00AD679A">
            <w:pPr>
              <w:autoSpaceDE w:val="0"/>
              <w:autoSpaceDN w:val="0"/>
              <w:adjustRightInd w:val="0"/>
              <w:spacing w:before="120" w:after="120" w:line="276" w:lineRule="auto"/>
              <w:jc w:val="right"/>
              <w:rPr>
                <w:rFonts w:ascii="Times New Roman" w:eastAsiaTheme="minorEastAsia" w:hAnsi="Times New Roman" w:cs="Times New Roman"/>
                <w:sz w:val="24"/>
                <w:szCs w:val="24"/>
              </w:rPr>
            </w:pPr>
            <w:r w:rsidRPr="009812B5">
              <w:rPr>
                <w:rFonts w:ascii="Times New Roman" w:eastAsiaTheme="minorEastAsia" w:hAnsi="Times New Roman" w:cs="Times New Roman"/>
                <w:sz w:val="24"/>
                <w:szCs w:val="24"/>
              </w:rPr>
              <w:t>(6)</w:t>
            </w:r>
          </w:p>
        </w:tc>
      </w:tr>
    </w:tbl>
    <w:p w14:paraId="288A5385" w14:textId="77777777" w:rsidR="00D65CBA" w:rsidRPr="009812B5" w:rsidRDefault="00D65CBA" w:rsidP="00D65CBA">
      <w:pPr>
        <w:autoSpaceDE w:val="0"/>
        <w:autoSpaceDN w:val="0"/>
        <w:adjustRightInd w:val="0"/>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where A is an area of the electrode surface, </w:t>
      </w:r>
      <w:r>
        <w:rPr>
          <w:rFonts w:ascii="Times New Roman" w:hAnsi="Times New Roman" w:cs="Times New Roman"/>
          <w:sz w:val="24"/>
          <w:szCs w:val="24"/>
        </w:rPr>
        <w:t xml:space="preserve">d </w:t>
      </w:r>
      <w:r w:rsidRPr="009812B5">
        <w:rPr>
          <w:rFonts w:ascii="Times New Roman" w:eastAsiaTheme="minorEastAsia" w:hAnsi="Times New Roman" w:cs="Times New Roman"/>
          <w:sz w:val="24"/>
          <w:szCs w:val="24"/>
        </w:rPr>
        <w:t>is the thickness of the protective layer,</w:t>
      </w:r>
      <w:r w:rsidRPr="009812B5">
        <w:rPr>
          <w:rFonts w:ascii="Times New Roman" w:hAnsi="Times New Roman" w:cs="Times New Roman"/>
          <w:sz w:val="24"/>
          <w:szCs w:val="24"/>
        </w:rPr>
        <w:t xml:space="preserve"> </w:t>
      </w:r>
      <m:oMath>
        <m:sSub>
          <m:sSubPr>
            <m:ctrlPr>
              <w:rPr>
                <w:rFonts w:ascii="Cambria Math" w:eastAsiaTheme="minorEastAsia" w:hAnsi="Cambria Math" w:cs="Times New Roman"/>
                <w:sz w:val="24"/>
                <w:szCs w:val="24"/>
              </w:rPr>
            </m:ctrlPr>
          </m:sSubPr>
          <m:e>
            <m:r>
              <m:rPr>
                <m:nor/>
              </m:rPr>
              <w:rPr>
                <w:rFonts w:ascii="Times New Roman" w:eastAsiaTheme="minorEastAsia" w:hAnsi="Times New Roman" w:cs="Times New Roman"/>
                <w:sz w:val="24"/>
                <w:szCs w:val="24"/>
              </w:rPr>
              <m:t>ε</m:t>
            </m:r>
          </m:e>
          <m:sub>
            <m:r>
              <m:rPr>
                <m:nor/>
              </m:rPr>
              <w:rPr>
                <w:rFonts w:ascii="Times New Roman" w:eastAsiaTheme="minorEastAsia" w:hAnsi="Times New Roman" w:cs="Times New Roman"/>
                <w:sz w:val="24"/>
                <w:szCs w:val="24"/>
              </w:rPr>
              <m:t>0</m:t>
            </m:r>
          </m:sub>
        </m:sSub>
        <m:r>
          <w:rPr>
            <w:rFonts w:ascii="Cambria Math" w:eastAsiaTheme="minorEastAsia" w:hAnsi="Cambria Math" w:cs="Times New Roman"/>
            <w:sz w:val="24"/>
            <w:szCs w:val="24"/>
          </w:rPr>
          <m:t xml:space="preserve"> </m:t>
        </m:r>
      </m:oMath>
      <w:r w:rsidRPr="009812B5">
        <w:rPr>
          <w:rFonts w:ascii="Times New Roman" w:eastAsiaTheme="minorEastAsia" w:hAnsi="Times New Roman" w:cs="Times New Roman"/>
          <w:sz w:val="24"/>
          <w:szCs w:val="24"/>
        </w:rPr>
        <w:t xml:space="preserve">is the permittivity of air and ε is the local dielectric constant. It can be suggested that </w:t>
      </w:r>
      <w:r w:rsidRPr="009812B5">
        <w:rPr>
          <w:rFonts w:ascii="Times New Roman" w:hAnsi="Times New Roman" w:cs="Times New Roman"/>
          <w:sz w:val="24"/>
          <w:szCs w:val="24"/>
        </w:rPr>
        <w:t xml:space="preserve">the presence of Glutamic Acid or Threonine at the Fe/solution interface rendered the Fe surface more electrochemically active, probably diminishing the stability and thickness of the protective layer of reaction products on the electrode surface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{"citationID":"pwcVFm4F","properties":{"formattedCitation":"(Mobin et al., 2017; Oguzie et al., 2007)","plainCitation":"(Mobin et al., 2017; Oguzie et al., 2007)","noteIndex":0},"citationItems":[{"id":2,"uris":["http://zotero.org/users/13853408/items/KY47EFZE"],"itemData":{"id":2,"type":"article-journal","abstract":"The corrosion inhibition behavior of amino acid L-methionine (LMT) separately and in combination with very low concentration of surfactants sodium dodecyl sulfate (SDS) and cetyltrimethyl ammonium bromide (CTAB) on mild steel in 0.1 M H2SO4 solution was studied, using weight loss and potentiodynamic polarization measurement techniques. The studies were carried out in the temperature range of 30–60 °C. The surface morphology of the corroded steel samples was studied by scanning electron microscopy (SEM) and atomic force microscopy (AFM).The results show that LMT is an effective inhibitor for mild steel corrosion in 0.1 M H2SO4 which is synergistically improved in the presence of SDS and CTAB. The mixed LMT and CTAB is more effective as an inhibitor than mixture of LMT and SDS. The SEM and AFM photographs show a clearly different surface morphology in the presence of additives. LMT alone and in combination with surfactants obeys Langmuir adsorption isotherm from the ﬁt of the experimental data of all concentrations and temperatures studied. Phenomenon of physical adsorption is proposed from the trend of the IE with temperature and also the values of activation energy (Ea), standard enthalpy of adsorption (DHads), and standard free energy of adsorption (DGads) obtained. The results obtained by potentiodynamic polarization measurements are consistent with the results of the weight loss measurements. LMT acts as a mixed type inhibitor.","container-title":"Arabian Journal of Chemistry","DOI":"10.1016/j.arabjc.2013.04.006","ISSN":"18785352","journalAbbreviation":"Arabian Journal of Chemistry","language":"en","page":"S1364-S1372","source":"DOI.org (Crossref)","title":"Synergistic effect of sodium dodecyl sulfate and cetyltrimethyl ammonium bromide on the corrosion inhibition behavior of l -methionine on mild steel in acidic medium","volume":"10","author":[{"family":"Mobin","given":"M."},{"family":"Parveen","given":"Mosarrat"},{"family":"Rafiquee","given":"M.Z.A."}],"issued":{"date-parts":[["2017",2]]}}},{"id":32,"uris":["http://zotero.org/users/13853408/items/PX3HE54A"],"itemData":{"id":32,"type":"article-journal","abstract":"The effect of cysteine (cys) on the corrosion of low carbon steel (LCS) in sulphuric acid solution was investigated using electrochemical and scanning electron microscopy (SEM) techniques. Electrochemical impedance spectroscopy (EIS) results reveal that the presence of cys at low concentrations (0.1–0.5 mmol L−1) promoted the LCS corrosion process, whereas an inhibiting effect was observed at higher concentrations (1.0–5.0 mmol L−1), which was enhanced on deaeration of the test solution. Polarization results revealed that cys actually inhibited the cathodic process at all concentration but exerted a stimulating effect on the anodic metal dissolution reaction. Despite the cathodic inhibiting effect, the polarization resistances at low cys concentrations were less than that in the blank acid. This suggests that the anodic reaction was the predominant inﬂuence determining the corrosion rates in the presence of cys. This has been discussed vis-a`-vis the catalytic effect of the Fe–cys complex, which turns the Fe surface more electrochemically active.","container-title":"Electrochimica Acta","DOI":"10.1016/j.electacta.2007.07.076","ISSN":"00134686","issue":"2","journalAbbreviation":"Electrochimica Acta","language":"en","page":"909-914","source":"DOI.org (Crossref)","title":"Effect of 2-amino-3-mercaptopropanoic acid (cysteine) on the corrosion behaviour of low carbon steel in sulphuric acid","volume":"53","author":[{"family":"Oguzie","given":"E.E."},{"family":"Li","given":"Y."},{"family":"Wang","given":"F.H."}],"issued":{"date-parts":[["2007",12]]}}}],"schema":"https://github.com/citation-style-language/schema/raw/master/csl-citation.json"}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(Mobin et al., 2017; Oguzie et al., 2007)</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w:t>
      </w:r>
    </w:p>
    <w:p w14:paraId="5DB2F0E1" w14:textId="77777777" w:rsidR="00D65CBA" w:rsidRPr="009812B5" w:rsidRDefault="00D65CBA" w:rsidP="00D65CBA">
      <w:pPr>
        <w:autoSpaceDE w:val="0"/>
        <w:autoSpaceDN w:val="0"/>
        <w:adjustRightInd w:val="0"/>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lastRenderedPageBreak/>
        <w:t xml:space="preserve">To conclude, the experimental descending order of the corrosion inhibitor for mild steel in 0.5M HCl was Methionine &gt; Arginine &gt; Threonine &gt; Glutamic Acid. </w:t>
      </w:r>
    </w:p>
    <w:p w14:paraId="34CFC03B" w14:textId="77777777" w:rsidR="00D65CBA" w:rsidRPr="009812B5" w:rsidRDefault="00D65CBA" w:rsidP="00D65CBA">
      <w:pPr>
        <w:pStyle w:val="ListParagraph"/>
        <w:numPr>
          <w:ilvl w:val="0"/>
          <w:numId w:val="6"/>
        </w:numPr>
        <w:spacing w:before="120" w:after="120" w:line="276" w:lineRule="auto"/>
        <w:rPr>
          <w:rFonts w:ascii="Times New Roman" w:hAnsi="Times New Roman" w:cs="Times New Roman"/>
          <w:b/>
          <w:bCs/>
          <w:sz w:val="24"/>
          <w:szCs w:val="24"/>
        </w:rPr>
      </w:pPr>
      <w:r w:rsidRPr="009812B5">
        <w:rPr>
          <w:rFonts w:ascii="Times New Roman" w:hAnsi="Times New Roman" w:cs="Times New Roman"/>
          <w:b/>
          <w:bCs/>
          <w:kern w:val="0"/>
          <w:sz w:val="24"/>
          <w:szCs w:val="24"/>
        </w:rPr>
        <w:t>P</w:t>
      </w:r>
      <w:r w:rsidRPr="009812B5">
        <w:rPr>
          <w:rFonts w:ascii="Times New Roman" w:hAnsi="Times New Roman" w:cs="Times New Roman"/>
          <w:b/>
          <w:bCs/>
          <w:sz w:val="24"/>
          <w:szCs w:val="24"/>
        </w:rPr>
        <w:t>otentiodynamic polarization (PDP)</w:t>
      </w:r>
    </w:p>
    <w:p w14:paraId="210E5EC4" w14:textId="77777777" w:rsidR="00D65CBA" w:rsidRPr="009812B5"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Potentiodynamic polarization curves for the corrosion of mild steel in 0.5 M HCl in the absence and presence of L-Methionine was shown in </w:t>
      </w:r>
      <w:r w:rsidRPr="009812B5">
        <w:rPr>
          <w:rFonts w:ascii="Times New Roman" w:hAnsi="Times New Roman" w:cs="Times New Roman"/>
          <w:sz w:val="24"/>
          <w:szCs w:val="24"/>
          <w:highlight w:val="yellow"/>
        </w:rPr>
        <w:fldChar w:fldCharType="begin"/>
      </w:r>
      <w:r w:rsidRPr="009812B5">
        <w:rPr>
          <w:rFonts w:ascii="Times New Roman" w:hAnsi="Times New Roman" w:cs="Times New Roman"/>
          <w:sz w:val="24"/>
          <w:szCs w:val="24"/>
        </w:rPr>
        <w:instrText xml:space="preserve"> REF _Ref161952540 \h </w:instrText>
      </w:r>
      <w:r w:rsidRPr="009812B5">
        <w:rPr>
          <w:rFonts w:ascii="Times New Roman" w:hAnsi="Times New Roman" w:cs="Times New Roman"/>
          <w:sz w:val="24"/>
          <w:szCs w:val="24"/>
          <w:highlight w:val="yellow"/>
        </w:rPr>
        <w:instrText xml:space="preserve"> \* MERGEFORMAT </w:instrText>
      </w:r>
      <w:r w:rsidRPr="009812B5">
        <w:rPr>
          <w:rFonts w:ascii="Times New Roman" w:hAnsi="Times New Roman" w:cs="Times New Roman"/>
          <w:sz w:val="24"/>
          <w:szCs w:val="24"/>
          <w:highlight w:val="yellow"/>
        </w:rPr>
      </w:r>
      <w:r w:rsidRPr="009812B5">
        <w:rPr>
          <w:rFonts w:ascii="Times New Roman" w:hAnsi="Times New Roman" w:cs="Times New Roman"/>
          <w:sz w:val="24"/>
          <w:szCs w:val="24"/>
          <w:highlight w:val="yellow"/>
        </w:rPr>
        <w:fldChar w:fldCharType="separate"/>
      </w:r>
      <w:r w:rsidRPr="001247F9">
        <w:rPr>
          <w:rFonts w:ascii="Times New Roman" w:hAnsi="Times New Roman" w:cs="Times New Roman"/>
          <w:sz w:val="24"/>
          <w:szCs w:val="24"/>
        </w:rPr>
        <w:t xml:space="preserve">Figure </w:t>
      </w:r>
      <w:r w:rsidRPr="001247F9">
        <w:rPr>
          <w:rFonts w:ascii="Times New Roman" w:hAnsi="Times New Roman" w:cs="Times New Roman"/>
          <w:noProof/>
          <w:sz w:val="24"/>
          <w:szCs w:val="24"/>
        </w:rPr>
        <w:t>6</w:t>
      </w:r>
      <w:r w:rsidRPr="009812B5">
        <w:rPr>
          <w:rFonts w:ascii="Times New Roman" w:hAnsi="Times New Roman" w:cs="Times New Roman"/>
          <w:sz w:val="24"/>
          <w:szCs w:val="24"/>
          <w:highlight w:val="yellow"/>
        </w:rPr>
        <w:fldChar w:fldCharType="end"/>
      </w:r>
      <w:r w:rsidRPr="009812B5">
        <w:rPr>
          <w:rFonts w:ascii="Times New Roman" w:hAnsi="Times New Roman" w:cs="Times New Roman"/>
          <w:sz w:val="24"/>
          <w:szCs w:val="24"/>
        </w:rPr>
        <w:t>. The electrochemical parameters which are corrosion potential (E</w:t>
      </w:r>
      <w:r w:rsidRPr="009812B5">
        <w:rPr>
          <w:rFonts w:ascii="Times New Roman" w:hAnsi="Times New Roman" w:cs="Times New Roman"/>
          <w:sz w:val="24"/>
          <w:szCs w:val="24"/>
          <w:vertAlign w:val="subscript"/>
        </w:rPr>
        <w:t>corr</w:t>
      </w:r>
      <w:r w:rsidRPr="009812B5">
        <w:rPr>
          <w:rFonts w:ascii="Times New Roman" w:hAnsi="Times New Roman" w:cs="Times New Roman"/>
          <w:sz w:val="24"/>
          <w:szCs w:val="24"/>
        </w:rPr>
        <w:t>), corrosion current density (i</w:t>
      </w:r>
      <w:r w:rsidRPr="009812B5">
        <w:rPr>
          <w:rFonts w:ascii="Times New Roman" w:hAnsi="Times New Roman" w:cs="Times New Roman"/>
          <w:sz w:val="24"/>
          <w:szCs w:val="24"/>
          <w:vertAlign w:val="subscript"/>
        </w:rPr>
        <w:t>corr</w:t>
      </w:r>
      <w:r w:rsidRPr="009812B5">
        <w:rPr>
          <w:rFonts w:ascii="Times New Roman" w:hAnsi="Times New Roman" w:cs="Times New Roman"/>
          <w:sz w:val="24"/>
          <w:szCs w:val="24"/>
        </w:rPr>
        <w:t>), and % IE</w:t>
      </w:r>
      <w:r w:rsidRPr="009812B5">
        <w:rPr>
          <w:rFonts w:ascii="Times New Roman" w:hAnsi="Times New Roman" w:cs="Times New Roman"/>
          <w:sz w:val="24"/>
          <w:szCs w:val="24"/>
          <w:vertAlign w:val="subscript"/>
        </w:rPr>
        <w:t>PDP</w:t>
      </w:r>
      <w:r w:rsidRPr="009812B5">
        <w:rPr>
          <w:rFonts w:ascii="Times New Roman" w:hAnsi="Times New Roman" w:cs="Times New Roman"/>
          <w:sz w:val="24"/>
          <w:szCs w:val="24"/>
        </w:rPr>
        <w:t xml:space="preserve"> were deduced from these curves, and they were presented in </w:t>
      </w:r>
      <w:r w:rsidRPr="009812B5">
        <w:rPr>
          <w:rFonts w:ascii="Times New Roman" w:hAnsi="Times New Roman" w:cs="Times New Roman"/>
          <w:sz w:val="24"/>
          <w:szCs w:val="24"/>
          <w:highlight w:val="yellow"/>
        </w:rPr>
        <w:fldChar w:fldCharType="begin"/>
      </w:r>
      <w:r w:rsidRPr="009812B5">
        <w:rPr>
          <w:rFonts w:ascii="Times New Roman" w:hAnsi="Times New Roman" w:cs="Times New Roman"/>
          <w:sz w:val="24"/>
          <w:szCs w:val="24"/>
        </w:rPr>
        <w:instrText xml:space="preserve"> REF _Ref161952573 \h </w:instrText>
      </w:r>
      <w:r w:rsidRPr="009812B5">
        <w:rPr>
          <w:rFonts w:ascii="Times New Roman" w:hAnsi="Times New Roman" w:cs="Times New Roman"/>
          <w:sz w:val="24"/>
          <w:szCs w:val="24"/>
          <w:highlight w:val="yellow"/>
        </w:rPr>
        <w:instrText xml:space="preserve"> \* MERGEFORMAT </w:instrText>
      </w:r>
      <w:r w:rsidRPr="009812B5">
        <w:rPr>
          <w:rFonts w:ascii="Times New Roman" w:hAnsi="Times New Roman" w:cs="Times New Roman"/>
          <w:sz w:val="24"/>
          <w:szCs w:val="24"/>
          <w:highlight w:val="yellow"/>
        </w:rPr>
      </w:r>
      <w:r w:rsidRPr="009812B5">
        <w:rPr>
          <w:rFonts w:ascii="Times New Roman" w:hAnsi="Times New Roman" w:cs="Times New Roman"/>
          <w:sz w:val="24"/>
          <w:szCs w:val="24"/>
          <w:highlight w:val="yellow"/>
        </w:rPr>
        <w:fldChar w:fldCharType="separate"/>
      </w:r>
      <w:r w:rsidRPr="001247F9">
        <w:rPr>
          <w:rFonts w:ascii="Times New Roman" w:hAnsi="Times New Roman" w:cs="Times New Roman"/>
          <w:sz w:val="24"/>
          <w:szCs w:val="24"/>
        </w:rPr>
        <w:t xml:space="preserve">Table </w:t>
      </w:r>
      <w:r w:rsidRPr="001247F9">
        <w:rPr>
          <w:rFonts w:ascii="Times New Roman" w:hAnsi="Times New Roman" w:cs="Times New Roman"/>
          <w:noProof/>
          <w:sz w:val="24"/>
          <w:szCs w:val="24"/>
        </w:rPr>
        <w:t>3</w:t>
      </w:r>
      <w:r w:rsidRPr="009812B5">
        <w:rPr>
          <w:rFonts w:ascii="Times New Roman" w:hAnsi="Times New Roman" w:cs="Times New Roman"/>
          <w:sz w:val="24"/>
          <w:szCs w:val="24"/>
          <w:highlight w:val="yellow"/>
        </w:rPr>
        <w:fldChar w:fldCharType="end"/>
      </w:r>
      <w:r w:rsidRPr="009812B5">
        <w:rPr>
          <w:rFonts w:ascii="Times New Roman" w:hAnsi="Times New Roman" w:cs="Times New Roman"/>
          <w:sz w:val="24"/>
          <w:szCs w:val="24"/>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D65CBA" w:rsidRPr="009812B5" w14:paraId="6F15FFD7" w14:textId="77777777" w:rsidTr="00AD679A">
        <w:tc>
          <w:tcPr>
            <w:tcW w:w="9350" w:type="dxa"/>
            <w:vAlign w:val="center"/>
          </w:tcPr>
          <w:p w14:paraId="3F565C0C" w14:textId="77777777" w:rsidR="00D65CBA" w:rsidRPr="009812B5" w:rsidRDefault="00D65CBA" w:rsidP="00AD679A">
            <w:pPr>
              <w:pStyle w:val="NormalWeb"/>
              <w:keepNext/>
              <w:spacing w:before="120" w:beforeAutospacing="0" w:after="120" w:afterAutospacing="0" w:line="276" w:lineRule="auto"/>
              <w:jc w:val="center"/>
            </w:pPr>
            <w:r w:rsidRPr="00F9047F">
              <w:rPr>
                <w:noProof/>
              </w:rPr>
              <w:drawing>
                <wp:inline distT="0" distB="0" distL="0" distR="0" wp14:anchorId="28958B1B" wp14:editId="0C0646AE">
                  <wp:extent cx="3656673" cy="3014804"/>
                  <wp:effectExtent l="0" t="0" r="1270" b="0"/>
                  <wp:docPr id="168381011" name="Picture 1" descr="A graph of a graph with numbers and line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81011" name="Picture 1" descr="A graph of a graph with numbers and lines&#10;&#10;Description automatically generated with medium confidence"/>
                          <pic:cNvPicPr/>
                        </pic:nvPicPr>
                        <pic:blipFill>
                          <a:blip r:embed="rId24"/>
                          <a:stretch>
                            <a:fillRect/>
                          </a:stretch>
                        </pic:blipFill>
                        <pic:spPr>
                          <a:xfrm>
                            <a:off x="0" y="0"/>
                            <a:ext cx="3713419" cy="3061589"/>
                          </a:xfrm>
                          <a:prstGeom prst="rect">
                            <a:avLst/>
                          </a:prstGeom>
                        </pic:spPr>
                      </pic:pic>
                    </a:graphicData>
                  </a:graphic>
                </wp:inline>
              </w:drawing>
            </w:r>
          </w:p>
        </w:tc>
      </w:tr>
    </w:tbl>
    <w:p w14:paraId="3A04BFE2" w14:textId="77777777" w:rsidR="00D65CBA" w:rsidRPr="0027252B" w:rsidRDefault="00D65CBA" w:rsidP="00D65CBA">
      <w:pPr>
        <w:pStyle w:val="Caption"/>
        <w:rPr>
          <w:rFonts w:ascii="Times New Roman" w:hAnsi="Times New Roman" w:cs="Times New Roman"/>
          <w:i w:val="0"/>
          <w:iCs w:val="0"/>
          <w:color w:val="auto"/>
          <w:sz w:val="24"/>
          <w:szCs w:val="24"/>
        </w:rPr>
      </w:pPr>
      <w:bookmarkStart w:id="7" w:name="_Ref161952540"/>
      <w:r w:rsidRPr="0027252B">
        <w:rPr>
          <w:rFonts w:ascii="Times New Roman" w:hAnsi="Times New Roman" w:cs="Times New Roman"/>
          <w:b/>
          <w:bCs/>
          <w:i w:val="0"/>
          <w:iCs w:val="0"/>
          <w:color w:val="auto"/>
          <w:sz w:val="24"/>
          <w:szCs w:val="24"/>
        </w:rPr>
        <w:t xml:space="preserve">Figure </w:t>
      </w:r>
      <w:r w:rsidRPr="0027252B">
        <w:rPr>
          <w:rFonts w:ascii="Times New Roman" w:hAnsi="Times New Roman" w:cs="Times New Roman"/>
          <w:b/>
          <w:bCs/>
          <w:i w:val="0"/>
          <w:iCs w:val="0"/>
          <w:color w:val="auto"/>
          <w:sz w:val="24"/>
          <w:szCs w:val="24"/>
        </w:rPr>
        <w:fldChar w:fldCharType="begin"/>
      </w:r>
      <w:r w:rsidRPr="0027252B">
        <w:rPr>
          <w:rFonts w:ascii="Times New Roman" w:hAnsi="Times New Roman" w:cs="Times New Roman"/>
          <w:b/>
          <w:bCs/>
          <w:i w:val="0"/>
          <w:iCs w:val="0"/>
          <w:color w:val="auto"/>
          <w:sz w:val="24"/>
          <w:szCs w:val="24"/>
        </w:rPr>
        <w:instrText xml:space="preserve"> SEQ Figure \* ARABIC </w:instrText>
      </w:r>
      <w:r w:rsidRPr="0027252B">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6</w:t>
      </w:r>
      <w:r w:rsidRPr="0027252B">
        <w:rPr>
          <w:rFonts w:ascii="Times New Roman" w:hAnsi="Times New Roman" w:cs="Times New Roman"/>
          <w:b/>
          <w:bCs/>
          <w:i w:val="0"/>
          <w:iCs w:val="0"/>
          <w:color w:val="auto"/>
          <w:sz w:val="24"/>
          <w:szCs w:val="24"/>
        </w:rPr>
        <w:fldChar w:fldCharType="end"/>
      </w:r>
      <w:bookmarkEnd w:id="7"/>
      <w:r w:rsidRPr="0027252B">
        <w:rPr>
          <w:rFonts w:ascii="Times New Roman" w:hAnsi="Times New Roman" w:cs="Times New Roman"/>
          <w:b/>
          <w:bCs/>
          <w:i w:val="0"/>
          <w:iCs w:val="0"/>
          <w:color w:val="auto"/>
          <w:sz w:val="24"/>
          <w:szCs w:val="24"/>
        </w:rPr>
        <w:t>:</w:t>
      </w:r>
      <w:r w:rsidRPr="0027252B">
        <w:rPr>
          <w:rFonts w:ascii="Times New Roman" w:hAnsi="Times New Roman" w:cs="Times New Roman"/>
          <w:i w:val="0"/>
          <w:iCs w:val="0"/>
          <w:color w:val="auto"/>
          <w:sz w:val="24"/>
          <w:szCs w:val="24"/>
        </w:rPr>
        <w:t xml:space="preserve"> Potentiodynamic curves for mild steel in 0.5 M HCl in the absence and presence of various concentrations of L-Methionine</w:t>
      </w:r>
    </w:p>
    <w:p w14:paraId="634226C7" w14:textId="77777777" w:rsidR="00D65CBA" w:rsidRPr="0027252B" w:rsidRDefault="00D65CBA" w:rsidP="00D65CBA">
      <w:pPr>
        <w:pStyle w:val="Caption"/>
        <w:keepNext/>
        <w:rPr>
          <w:rFonts w:ascii="Times New Roman" w:hAnsi="Times New Roman" w:cs="Times New Roman"/>
          <w:i w:val="0"/>
          <w:iCs w:val="0"/>
          <w:color w:val="auto"/>
          <w:sz w:val="24"/>
          <w:szCs w:val="24"/>
        </w:rPr>
      </w:pPr>
      <w:bookmarkStart w:id="8" w:name="_Ref161952573"/>
      <w:r w:rsidRPr="0027252B">
        <w:rPr>
          <w:rFonts w:ascii="Times New Roman" w:hAnsi="Times New Roman" w:cs="Times New Roman"/>
          <w:b/>
          <w:bCs/>
          <w:i w:val="0"/>
          <w:iCs w:val="0"/>
          <w:color w:val="auto"/>
          <w:sz w:val="24"/>
          <w:szCs w:val="24"/>
        </w:rPr>
        <w:t xml:space="preserve">Table </w:t>
      </w:r>
      <w:r w:rsidRPr="0027252B">
        <w:rPr>
          <w:rFonts w:ascii="Times New Roman" w:hAnsi="Times New Roman" w:cs="Times New Roman"/>
          <w:b/>
          <w:bCs/>
          <w:i w:val="0"/>
          <w:iCs w:val="0"/>
          <w:color w:val="auto"/>
          <w:sz w:val="24"/>
          <w:szCs w:val="24"/>
        </w:rPr>
        <w:fldChar w:fldCharType="begin"/>
      </w:r>
      <w:r w:rsidRPr="0027252B">
        <w:rPr>
          <w:rFonts w:ascii="Times New Roman" w:hAnsi="Times New Roman" w:cs="Times New Roman"/>
          <w:b/>
          <w:bCs/>
          <w:i w:val="0"/>
          <w:iCs w:val="0"/>
          <w:color w:val="auto"/>
          <w:sz w:val="24"/>
          <w:szCs w:val="24"/>
        </w:rPr>
        <w:instrText xml:space="preserve"> SEQ Table \* ARABIC </w:instrText>
      </w:r>
      <w:r w:rsidRPr="0027252B">
        <w:rPr>
          <w:rFonts w:ascii="Times New Roman" w:hAnsi="Times New Roman" w:cs="Times New Roman"/>
          <w:b/>
          <w:bCs/>
          <w:i w:val="0"/>
          <w:iCs w:val="0"/>
          <w:color w:val="auto"/>
          <w:sz w:val="24"/>
          <w:szCs w:val="24"/>
        </w:rPr>
        <w:fldChar w:fldCharType="separate"/>
      </w:r>
      <w:r>
        <w:rPr>
          <w:rFonts w:ascii="Times New Roman" w:hAnsi="Times New Roman" w:cs="Times New Roman"/>
          <w:b/>
          <w:bCs/>
          <w:i w:val="0"/>
          <w:iCs w:val="0"/>
          <w:noProof/>
          <w:color w:val="auto"/>
          <w:sz w:val="24"/>
          <w:szCs w:val="24"/>
        </w:rPr>
        <w:t>3</w:t>
      </w:r>
      <w:r w:rsidRPr="0027252B">
        <w:rPr>
          <w:rFonts w:ascii="Times New Roman" w:hAnsi="Times New Roman" w:cs="Times New Roman"/>
          <w:b/>
          <w:bCs/>
          <w:i w:val="0"/>
          <w:iCs w:val="0"/>
          <w:color w:val="auto"/>
          <w:sz w:val="24"/>
          <w:szCs w:val="24"/>
        </w:rPr>
        <w:fldChar w:fldCharType="end"/>
      </w:r>
      <w:bookmarkEnd w:id="8"/>
      <w:r w:rsidRPr="0027252B">
        <w:rPr>
          <w:rFonts w:ascii="Times New Roman" w:hAnsi="Times New Roman" w:cs="Times New Roman"/>
          <w:b/>
          <w:bCs/>
          <w:i w:val="0"/>
          <w:iCs w:val="0"/>
          <w:color w:val="auto"/>
          <w:sz w:val="24"/>
          <w:szCs w:val="24"/>
        </w:rPr>
        <w:t>:</w:t>
      </w:r>
      <w:r w:rsidRPr="0027252B">
        <w:rPr>
          <w:rFonts w:ascii="Times New Roman" w:hAnsi="Times New Roman" w:cs="Times New Roman"/>
          <w:i w:val="0"/>
          <w:iCs w:val="0"/>
          <w:color w:val="auto"/>
          <w:sz w:val="24"/>
          <w:szCs w:val="24"/>
        </w:rPr>
        <w:t xml:space="preserve"> Tafel polarization parameters and corresponding inhibition efficiencies for the corrosion of mild steel in 0.5 M HCl without and with addition of various concentrations of L-Methionine</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576"/>
        <w:gridCol w:w="1314"/>
        <w:gridCol w:w="1278"/>
        <w:gridCol w:w="1317"/>
        <w:gridCol w:w="1317"/>
        <w:gridCol w:w="1320"/>
        <w:gridCol w:w="1228"/>
      </w:tblGrid>
      <w:tr w:rsidR="00D65CBA" w:rsidRPr="009812B5" w14:paraId="09D10C45" w14:textId="77777777" w:rsidTr="00AD679A">
        <w:tc>
          <w:tcPr>
            <w:tcW w:w="1576" w:type="dxa"/>
            <w:tcBorders>
              <w:top w:val="single" w:sz="4" w:space="0" w:color="auto"/>
              <w:bottom w:val="single" w:sz="4" w:space="0" w:color="auto"/>
            </w:tcBorders>
            <w:vAlign w:val="center"/>
          </w:tcPr>
          <w:p w14:paraId="7BD68CC9"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Concentration (%wt)</w:t>
            </w:r>
          </w:p>
        </w:tc>
        <w:tc>
          <w:tcPr>
            <w:tcW w:w="1314" w:type="dxa"/>
            <w:tcBorders>
              <w:top w:val="single" w:sz="4" w:space="0" w:color="auto"/>
              <w:bottom w:val="single" w:sz="4" w:space="0" w:color="auto"/>
            </w:tcBorders>
            <w:vAlign w:val="center"/>
          </w:tcPr>
          <w:p w14:paraId="70E3FBD2"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I</w:t>
            </w:r>
            <w:r w:rsidRPr="009812B5">
              <w:rPr>
                <w:rFonts w:ascii="Times New Roman" w:hAnsi="Times New Roman" w:cs="Times New Roman"/>
                <w:sz w:val="24"/>
                <w:szCs w:val="24"/>
                <w:vertAlign w:val="subscript"/>
              </w:rPr>
              <w:t>corr</w:t>
            </w:r>
            <w:r w:rsidRPr="009812B5">
              <w:rPr>
                <w:rFonts w:ascii="Times New Roman" w:hAnsi="Times New Roman" w:cs="Times New Roman"/>
                <w:sz w:val="24"/>
                <w:szCs w:val="24"/>
              </w:rPr>
              <w:t xml:space="preserve"> (μA/cm</w:t>
            </w:r>
            <w:r w:rsidRPr="009812B5">
              <w:rPr>
                <w:rFonts w:ascii="Times New Roman" w:hAnsi="Times New Roman" w:cs="Times New Roman"/>
                <w:sz w:val="24"/>
                <w:szCs w:val="24"/>
                <w:vertAlign w:val="superscript"/>
              </w:rPr>
              <w:t>2</w:t>
            </w:r>
            <w:r w:rsidRPr="009812B5">
              <w:rPr>
                <w:rFonts w:ascii="Times New Roman" w:hAnsi="Times New Roman" w:cs="Times New Roman"/>
                <w:sz w:val="24"/>
                <w:szCs w:val="24"/>
              </w:rPr>
              <w:t>)</w:t>
            </w:r>
          </w:p>
        </w:tc>
        <w:tc>
          <w:tcPr>
            <w:tcW w:w="1278" w:type="dxa"/>
            <w:tcBorders>
              <w:top w:val="single" w:sz="4" w:space="0" w:color="auto"/>
              <w:bottom w:val="single" w:sz="4" w:space="0" w:color="auto"/>
            </w:tcBorders>
            <w:vAlign w:val="center"/>
          </w:tcPr>
          <w:p w14:paraId="75408A6B"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E</w:t>
            </w:r>
            <w:r w:rsidRPr="009812B5">
              <w:rPr>
                <w:rFonts w:ascii="Times New Roman" w:hAnsi="Times New Roman" w:cs="Times New Roman"/>
                <w:sz w:val="24"/>
                <w:szCs w:val="24"/>
                <w:vertAlign w:val="subscript"/>
              </w:rPr>
              <w:t>corr</w:t>
            </w:r>
            <w:r w:rsidRPr="009812B5">
              <w:rPr>
                <w:rFonts w:ascii="Times New Roman" w:hAnsi="Times New Roman" w:cs="Times New Roman"/>
                <w:sz w:val="24"/>
                <w:szCs w:val="24"/>
              </w:rPr>
              <w:t xml:space="preserve"> (mV)</w:t>
            </w:r>
          </w:p>
        </w:tc>
        <w:tc>
          <w:tcPr>
            <w:tcW w:w="1317" w:type="dxa"/>
            <w:tcBorders>
              <w:top w:val="single" w:sz="4" w:space="0" w:color="auto"/>
              <w:bottom w:val="single" w:sz="4" w:space="0" w:color="auto"/>
            </w:tcBorders>
            <w:vAlign w:val="center"/>
          </w:tcPr>
          <w:p w14:paraId="480B10B3"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β</w:t>
            </w:r>
            <w:r w:rsidRPr="009812B5">
              <w:rPr>
                <w:rFonts w:ascii="Times New Roman" w:hAnsi="Times New Roman" w:cs="Times New Roman"/>
                <w:sz w:val="24"/>
                <w:szCs w:val="24"/>
                <w:vertAlign w:val="subscript"/>
              </w:rPr>
              <w:t xml:space="preserve">a </w:t>
            </w:r>
            <w:r w:rsidRPr="009812B5">
              <w:rPr>
                <w:rFonts w:ascii="Times New Roman" w:hAnsi="Times New Roman" w:cs="Times New Roman"/>
                <w:sz w:val="24"/>
                <w:szCs w:val="24"/>
              </w:rPr>
              <w:t>(mV/dec)</w:t>
            </w:r>
          </w:p>
        </w:tc>
        <w:tc>
          <w:tcPr>
            <w:tcW w:w="1317" w:type="dxa"/>
            <w:tcBorders>
              <w:top w:val="single" w:sz="4" w:space="0" w:color="auto"/>
              <w:bottom w:val="single" w:sz="4" w:space="0" w:color="auto"/>
            </w:tcBorders>
            <w:vAlign w:val="center"/>
          </w:tcPr>
          <w:p w14:paraId="6B8C772B"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-β</w:t>
            </w:r>
            <w:r w:rsidRPr="009812B5">
              <w:rPr>
                <w:rFonts w:ascii="Times New Roman" w:hAnsi="Times New Roman" w:cs="Times New Roman"/>
                <w:sz w:val="24"/>
                <w:szCs w:val="24"/>
                <w:vertAlign w:val="subscript"/>
              </w:rPr>
              <w:t xml:space="preserve">c </w:t>
            </w:r>
            <w:r w:rsidRPr="009812B5">
              <w:rPr>
                <w:rFonts w:ascii="Times New Roman" w:hAnsi="Times New Roman" w:cs="Times New Roman"/>
                <w:sz w:val="24"/>
                <w:szCs w:val="24"/>
              </w:rPr>
              <w:t>(mV/dec)</w:t>
            </w:r>
          </w:p>
        </w:tc>
        <w:tc>
          <w:tcPr>
            <w:tcW w:w="1320" w:type="dxa"/>
            <w:tcBorders>
              <w:top w:val="single" w:sz="4" w:space="0" w:color="auto"/>
              <w:bottom w:val="single" w:sz="4" w:space="0" w:color="auto"/>
            </w:tcBorders>
            <w:vAlign w:val="center"/>
          </w:tcPr>
          <w:p w14:paraId="06C4AC27"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Corrosion Rate (mpy)</w:t>
            </w:r>
          </w:p>
        </w:tc>
        <w:tc>
          <w:tcPr>
            <w:tcW w:w="1228" w:type="dxa"/>
            <w:tcBorders>
              <w:top w:val="single" w:sz="4" w:space="0" w:color="auto"/>
              <w:bottom w:val="single" w:sz="4" w:space="0" w:color="auto"/>
            </w:tcBorders>
            <w:vAlign w:val="center"/>
          </w:tcPr>
          <w:p w14:paraId="420D0DA3"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IE</w:t>
            </w:r>
            <w:r w:rsidRPr="009812B5">
              <w:rPr>
                <w:rFonts w:ascii="Times New Roman" w:hAnsi="Times New Roman" w:cs="Times New Roman"/>
                <w:sz w:val="24"/>
                <w:szCs w:val="24"/>
                <w:vertAlign w:val="subscript"/>
              </w:rPr>
              <w:t>PDP</w:t>
            </w:r>
            <w:r w:rsidRPr="009812B5">
              <w:rPr>
                <w:rFonts w:ascii="Times New Roman" w:hAnsi="Times New Roman" w:cs="Times New Roman"/>
                <w:sz w:val="24"/>
                <w:szCs w:val="24"/>
              </w:rPr>
              <w:t xml:space="preserve"> (%)</w:t>
            </w:r>
          </w:p>
        </w:tc>
      </w:tr>
      <w:tr w:rsidR="00D65CBA" w:rsidRPr="009812B5" w14:paraId="2C8BEE5A" w14:textId="77777777" w:rsidTr="00AD679A">
        <w:tc>
          <w:tcPr>
            <w:tcW w:w="1576" w:type="dxa"/>
            <w:tcBorders>
              <w:top w:val="single" w:sz="4" w:space="0" w:color="auto"/>
            </w:tcBorders>
            <w:vAlign w:val="center"/>
          </w:tcPr>
          <w:p w14:paraId="33D075AE"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Control</w:t>
            </w:r>
          </w:p>
        </w:tc>
        <w:tc>
          <w:tcPr>
            <w:tcW w:w="1314" w:type="dxa"/>
            <w:tcBorders>
              <w:top w:val="single" w:sz="4" w:space="0" w:color="auto"/>
            </w:tcBorders>
            <w:vAlign w:val="center"/>
          </w:tcPr>
          <w:p w14:paraId="5F3F5A0B"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121.5</w:t>
            </w:r>
          </w:p>
        </w:tc>
        <w:tc>
          <w:tcPr>
            <w:tcW w:w="1278" w:type="dxa"/>
            <w:tcBorders>
              <w:top w:val="single" w:sz="4" w:space="0" w:color="auto"/>
            </w:tcBorders>
            <w:vAlign w:val="center"/>
          </w:tcPr>
          <w:p w14:paraId="1C6E3CED"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F31495">
              <w:rPr>
                <w:rFonts w:ascii="Times New Roman" w:eastAsia="Times New Roman" w:hAnsi="Times New Roman" w:cs="Times New Roman"/>
                <w:sz w:val="24"/>
                <w:szCs w:val="24"/>
              </w:rPr>
              <w:t>-477.5</w:t>
            </w:r>
          </w:p>
        </w:tc>
        <w:tc>
          <w:tcPr>
            <w:tcW w:w="1317" w:type="dxa"/>
            <w:tcBorders>
              <w:top w:val="single" w:sz="4" w:space="0" w:color="auto"/>
            </w:tcBorders>
            <w:vAlign w:val="center"/>
          </w:tcPr>
          <w:p w14:paraId="4C241D46"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F31495">
              <w:rPr>
                <w:rFonts w:ascii="Times New Roman" w:eastAsia="Times New Roman" w:hAnsi="Times New Roman" w:cs="Times New Roman"/>
                <w:sz w:val="24"/>
                <w:szCs w:val="24"/>
              </w:rPr>
              <w:t>71.5</w:t>
            </w:r>
          </w:p>
        </w:tc>
        <w:tc>
          <w:tcPr>
            <w:tcW w:w="1317" w:type="dxa"/>
            <w:tcBorders>
              <w:top w:val="single" w:sz="4" w:space="0" w:color="auto"/>
            </w:tcBorders>
            <w:vAlign w:val="center"/>
          </w:tcPr>
          <w:p w14:paraId="2083E3B8"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F31495">
              <w:rPr>
                <w:rFonts w:ascii="Times New Roman" w:eastAsia="Times New Roman" w:hAnsi="Times New Roman" w:cs="Times New Roman"/>
                <w:sz w:val="24"/>
                <w:szCs w:val="24"/>
              </w:rPr>
              <w:t>149.3</w:t>
            </w:r>
          </w:p>
        </w:tc>
        <w:tc>
          <w:tcPr>
            <w:tcW w:w="1320" w:type="dxa"/>
            <w:tcBorders>
              <w:top w:val="single" w:sz="4" w:space="0" w:color="auto"/>
            </w:tcBorders>
            <w:vAlign w:val="center"/>
          </w:tcPr>
          <w:p w14:paraId="7EC3C2C9"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2972EF">
              <w:rPr>
                <w:rFonts w:ascii="Times New Roman" w:eastAsia="Times New Roman" w:hAnsi="Times New Roman" w:cs="Times New Roman"/>
                <w:sz w:val="24"/>
                <w:szCs w:val="24"/>
              </w:rPr>
              <w:t>55.5</w:t>
            </w:r>
          </w:p>
        </w:tc>
        <w:tc>
          <w:tcPr>
            <w:tcW w:w="1228" w:type="dxa"/>
            <w:tcBorders>
              <w:top w:val="single" w:sz="4" w:space="0" w:color="auto"/>
            </w:tcBorders>
            <w:vAlign w:val="center"/>
          </w:tcPr>
          <w:p w14:paraId="37149B05"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F31495">
              <w:rPr>
                <w:rFonts w:ascii="Times New Roman" w:eastAsia="Times New Roman" w:hAnsi="Times New Roman" w:cs="Times New Roman"/>
                <w:sz w:val="24"/>
                <w:szCs w:val="24"/>
              </w:rPr>
              <w:t>-</w:t>
            </w:r>
          </w:p>
        </w:tc>
      </w:tr>
      <w:tr w:rsidR="00D65CBA" w:rsidRPr="009812B5" w14:paraId="74520EB6" w14:textId="77777777" w:rsidTr="00AD679A">
        <w:tc>
          <w:tcPr>
            <w:tcW w:w="1576" w:type="dxa"/>
            <w:vAlign w:val="center"/>
          </w:tcPr>
          <w:p w14:paraId="0F43BCE1"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0.002</w:t>
            </w:r>
          </w:p>
        </w:tc>
        <w:tc>
          <w:tcPr>
            <w:tcW w:w="1314" w:type="dxa"/>
            <w:vAlign w:val="center"/>
          </w:tcPr>
          <w:p w14:paraId="34B1B079"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111.0</w:t>
            </w:r>
          </w:p>
        </w:tc>
        <w:tc>
          <w:tcPr>
            <w:tcW w:w="1278" w:type="dxa"/>
            <w:vAlign w:val="center"/>
          </w:tcPr>
          <w:p w14:paraId="1FCBD64B"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F31495">
              <w:rPr>
                <w:rFonts w:ascii="Times New Roman" w:eastAsia="Times New Roman" w:hAnsi="Times New Roman" w:cs="Times New Roman"/>
                <w:sz w:val="24"/>
                <w:szCs w:val="24"/>
              </w:rPr>
              <w:t>-469.0</w:t>
            </w:r>
          </w:p>
        </w:tc>
        <w:tc>
          <w:tcPr>
            <w:tcW w:w="1317" w:type="dxa"/>
            <w:vAlign w:val="center"/>
          </w:tcPr>
          <w:p w14:paraId="69E8C7E5"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F31495">
              <w:rPr>
                <w:rFonts w:ascii="Times New Roman" w:eastAsia="Times New Roman" w:hAnsi="Times New Roman" w:cs="Times New Roman"/>
                <w:sz w:val="24"/>
                <w:szCs w:val="24"/>
              </w:rPr>
              <w:t>73.6</w:t>
            </w:r>
          </w:p>
        </w:tc>
        <w:tc>
          <w:tcPr>
            <w:tcW w:w="1317" w:type="dxa"/>
            <w:vAlign w:val="center"/>
          </w:tcPr>
          <w:p w14:paraId="2249956D"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F31495">
              <w:rPr>
                <w:rFonts w:ascii="Times New Roman" w:eastAsia="Times New Roman" w:hAnsi="Times New Roman" w:cs="Times New Roman"/>
                <w:sz w:val="24"/>
                <w:szCs w:val="24"/>
              </w:rPr>
              <w:t>166.8</w:t>
            </w:r>
          </w:p>
        </w:tc>
        <w:tc>
          <w:tcPr>
            <w:tcW w:w="1320" w:type="dxa"/>
            <w:vAlign w:val="center"/>
          </w:tcPr>
          <w:p w14:paraId="7BF64C63"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2972EF">
              <w:rPr>
                <w:rFonts w:ascii="Times New Roman" w:eastAsia="Times New Roman" w:hAnsi="Times New Roman" w:cs="Times New Roman"/>
                <w:sz w:val="24"/>
                <w:szCs w:val="24"/>
              </w:rPr>
              <w:t>50.72</w:t>
            </w:r>
          </w:p>
        </w:tc>
        <w:tc>
          <w:tcPr>
            <w:tcW w:w="1228" w:type="dxa"/>
            <w:vAlign w:val="center"/>
          </w:tcPr>
          <w:p w14:paraId="32DD7158"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F31495">
              <w:rPr>
                <w:rFonts w:ascii="Times New Roman" w:eastAsia="Times New Roman" w:hAnsi="Times New Roman" w:cs="Times New Roman"/>
                <w:sz w:val="24"/>
                <w:szCs w:val="24"/>
              </w:rPr>
              <w:t>8.6</w:t>
            </w:r>
          </w:p>
        </w:tc>
      </w:tr>
      <w:tr w:rsidR="00D65CBA" w:rsidRPr="009812B5" w14:paraId="06D952C1" w14:textId="77777777" w:rsidTr="00AD679A">
        <w:tc>
          <w:tcPr>
            <w:tcW w:w="1576" w:type="dxa"/>
            <w:vAlign w:val="center"/>
          </w:tcPr>
          <w:p w14:paraId="0B0B62D8"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0.008</w:t>
            </w:r>
          </w:p>
        </w:tc>
        <w:tc>
          <w:tcPr>
            <w:tcW w:w="1314" w:type="dxa"/>
            <w:vAlign w:val="center"/>
          </w:tcPr>
          <w:p w14:paraId="4EDB9C5C"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79.2</w:t>
            </w:r>
          </w:p>
        </w:tc>
        <w:tc>
          <w:tcPr>
            <w:tcW w:w="1278" w:type="dxa"/>
            <w:vAlign w:val="center"/>
          </w:tcPr>
          <w:p w14:paraId="5A0A4F7C"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F31495">
              <w:rPr>
                <w:rFonts w:ascii="Times New Roman" w:eastAsia="Times New Roman" w:hAnsi="Times New Roman" w:cs="Times New Roman"/>
                <w:sz w:val="24"/>
                <w:szCs w:val="24"/>
              </w:rPr>
              <w:t>-465.0</w:t>
            </w:r>
          </w:p>
        </w:tc>
        <w:tc>
          <w:tcPr>
            <w:tcW w:w="1317" w:type="dxa"/>
            <w:vAlign w:val="center"/>
          </w:tcPr>
          <w:p w14:paraId="58982E9F"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F31495">
              <w:rPr>
                <w:rFonts w:ascii="Times New Roman" w:eastAsia="Times New Roman" w:hAnsi="Times New Roman" w:cs="Times New Roman"/>
                <w:sz w:val="24"/>
                <w:szCs w:val="24"/>
              </w:rPr>
              <w:t>71.3</w:t>
            </w:r>
          </w:p>
        </w:tc>
        <w:tc>
          <w:tcPr>
            <w:tcW w:w="1317" w:type="dxa"/>
            <w:vAlign w:val="center"/>
          </w:tcPr>
          <w:p w14:paraId="61417D26"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F31495">
              <w:rPr>
                <w:rFonts w:ascii="Times New Roman" w:eastAsia="Times New Roman" w:hAnsi="Times New Roman" w:cs="Times New Roman"/>
                <w:sz w:val="24"/>
                <w:szCs w:val="24"/>
              </w:rPr>
              <w:t>162.3</w:t>
            </w:r>
          </w:p>
        </w:tc>
        <w:tc>
          <w:tcPr>
            <w:tcW w:w="1320" w:type="dxa"/>
            <w:vAlign w:val="center"/>
          </w:tcPr>
          <w:p w14:paraId="286B1085"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2972EF">
              <w:rPr>
                <w:rFonts w:ascii="Times New Roman" w:eastAsia="Times New Roman" w:hAnsi="Times New Roman" w:cs="Times New Roman"/>
                <w:sz w:val="24"/>
                <w:szCs w:val="24"/>
              </w:rPr>
              <w:t>36.2</w:t>
            </w:r>
          </w:p>
        </w:tc>
        <w:tc>
          <w:tcPr>
            <w:tcW w:w="1228" w:type="dxa"/>
            <w:vAlign w:val="center"/>
          </w:tcPr>
          <w:p w14:paraId="2E657F81"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F31495">
              <w:rPr>
                <w:rFonts w:ascii="Times New Roman" w:eastAsia="Times New Roman" w:hAnsi="Times New Roman" w:cs="Times New Roman"/>
                <w:sz w:val="24"/>
                <w:szCs w:val="24"/>
              </w:rPr>
              <w:t>34.8</w:t>
            </w:r>
          </w:p>
        </w:tc>
      </w:tr>
      <w:tr w:rsidR="00D65CBA" w:rsidRPr="009812B5" w14:paraId="225277AB" w14:textId="77777777" w:rsidTr="00AD679A">
        <w:tc>
          <w:tcPr>
            <w:tcW w:w="1576" w:type="dxa"/>
            <w:vAlign w:val="center"/>
          </w:tcPr>
          <w:p w14:paraId="5A487640"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0.02</w:t>
            </w:r>
          </w:p>
        </w:tc>
        <w:tc>
          <w:tcPr>
            <w:tcW w:w="1314" w:type="dxa"/>
            <w:vAlign w:val="center"/>
          </w:tcPr>
          <w:p w14:paraId="28ED61AC"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69.3</w:t>
            </w:r>
          </w:p>
        </w:tc>
        <w:tc>
          <w:tcPr>
            <w:tcW w:w="1278" w:type="dxa"/>
            <w:vAlign w:val="center"/>
          </w:tcPr>
          <w:p w14:paraId="35C8D6F5"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F31495">
              <w:rPr>
                <w:rFonts w:ascii="Times New Roman" w:eastAsia="Times New Roman" w:hAnsi="Times New Roman" w:cs="Times New Roman"/>
                <w:sz w:val="24"/>
                <w:szCs w:val="24"/>
              </w:rPr>
              <w:t>-467.0</w:t>
            </w:r>
          </w:p>
        </w:tc>
        <w:tc>
          <w:tcPr>
            <w:tcW w:w="1317" w:type="dxa"/>
            <w:vAlign w:val="center"/>
          </w:tcPr>
          <w:p w14:paraId="74EB35D0"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F31495">
              <w:rPr>
                <w:rFonts w:ascii="Times New Roman" w:eastAsia="Times New Roman" w:hAnsi="Times New Roman" w:cs="Times New Roman"/>
                <w:sz w:val="24"/>
                <w:szCs w:val="24"/>
              </w:rPr>
              <w:t>79.4</w:t>
            </w:r>
          </w:p>
        </w:tc>
        <w:tc>
          <w:tcPr>
            <w:tcW w:w="1317" w:type="dxa"/>
            <w:vAlign w:val="center"/>
          </w:tcPr>
          <w:p w14:paraId="7E7C7155"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F31495">
              <w:rPr>
                <w:rFonts w:ascii="Times New Roman" w:eastAsia="Times New Roman" w:hAnsi="Times New Roman" w:cs="Times New Roman"/>
                <w:sz w:val="24"/>
                <w:szCs w:val="24"/>
              </w:rPr>
              <w:t>175.4</w:t>
            </w:r>
          </w:p>
        </w:tc>
        <w:tc>
          <w:tcPr>
            <w:tcW w:w="1320" w:type="dxa"/>
            <w:vAlign w:val="center"/>
          </w:tcPr>
          <w:p w14:paraId="0714C4FD"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2972EF">
              <w:rPr>
                <w:rFonts w:ascii="Times New Roman" w:eastAsia="Times New Roman" w:hAnsi="Times New Roman" w:cs="Times New Roman"/>
                <w:sz w:val="24"/>
                <w:szCs w:val="24"/>
              </w:rPr>
              <w:t>31.66</w:t>
            </w:r>
          </w:p>
        </w:tc>
        <w:tc>
          <w:tcPr>
            <w:tcW w:w="1228" w:type="dxa"/>
            <w:vAlign w:val="center"/>
          </w:tcPr>
          <w:p w14:paraId="42D5E22C" w14:textId="77777777" w:rsidR="00D65CBA" w:rsidRPr="009812B5" w:rsidRDefault="00D65CBA" w:rsidP="00AD679A">
            <w:pPr>
              <w:spacing w:before="120" w:after="120" w:line="276" w:lineRule="auto"/>
              <w:jc w:val="center"/>
              <w:rPr>
                <w:rFonts w:ascii="Times New Roman" w:hAnsi="Times New Roman" w:cs="Times New Roman"/>
                <w:sz w:val="24"/>
                <w:szCs w:val="24"/>
              </w:rPr>
            </w:pPr>
            <w:r w:rsidRPr="009812B5">
              <w:rPr>
                <w:rFonts w:ascii="Times New Roman" w:hAnsi="Times New Roman" w:cs="Times New Roman"/>
                <w:sz w:val="24"/>
                <w:szCs w:val="24"/>
              </w:rPr>
              <w:t>42.9</w:t>
            </w:r>
          </w:p>
        </w:tc>
      </w:tr>
    </w:tbl>
    <w:p w14:paraId="50C5B21D" w14:textId="77777777" w:rsidR="00D65CBA" w:rsidRPr="009812B5" w:rsidRDefault="00D65CBA" w:rsidP="00D65CBA">
      <w:pPr>
        <w:spacing w:before="240" w:after="240" w:line="276" w:lineRule="auto"/>
        <w:rPr>
          <w:rFonts w:ascii="Times New Roman" w:hAnsi="Times New Roman" w:cs="Times New Roman"/>
          <w:sz w:val="24"/>
          <w:szCs w:val="24"/>
        </w:rPr>
      </w:pPr>
      <w:r w:rsidRPr="009812B5">
        <w:rPr>
          <w:rFonts w:ascii="Times New Roman" w:hAnsi="Times New Roman" w:cs="Times New Roman"/>
          <w:sz w:val="24"/>
          <w:szCs w:val="24"/>
        </w:rPr>
        <w:lastRenderedPageBreak/>
        <w:t>It was observed that the addition of Methionine reduced the rates of both the cathodic hydrogen evolution and the anodic Fe dissolution. The decrease in I</w:t>
      </w:r>
      <w:r w:rsidRPr="009812B5">
        <w:rPr>
          <w:rFonts w:ascii="Times New Roman" w:hAnsi="Times New Roman" w:cs="Times New Roman"/>
          <w:sz w:val="24"/>
          <w:szCs w:val="24"/>
          <w:vertAlign w:val="subscript"/>
        </w:rPr>
        <w:t>corr</w:t>
      </w:r>
      <w:r w:rsidRPr="009812B5">
        <w:rPr>
          <w:rFonts w:ascii="Times New Roman" w:hAnsi="Times New Roman" w:cs="Times New Roman"/>
          <w:sz w:val="24"/>
          <w:szCs w:val="24"/>
        </w:rPr>
        <w:t xml:space="preserve"> values and corrosion rate with increase in methionine concentration indicates that the presence of Methionine in acidic media mitigates the corrosion on the metal. The values of E</w:t>
      </w:r>
      <w:r w:rsidRPr="009812B5">
        <w:rPr>
          <w:rFonts w:ascii="Times New Roman" w:hAnsi="Times New Roman" w:cs="Times New Roman"/>
          <w:sz w:val="24"/>
          <w:szCs w:val="24"/>
          <w:vertAlign w:val="subscript"/>
        </w:rPr>
        <w:t>corr</w:t>
      </w:r>
      <w:r w:rsidRPr="009812B5">
        <w:rPr>
          <w:rFonts w:ascii="Times New Roman" w:hAnsi="Times New Roman" w:cs="Times New Roman"/>
          <w:sz w:val="24"/>
          <w:szCs w:val="24"/>
        </w:rPr>
        <w:t xml:space="preserve"> in the presence of Methionine shift to more positive values compared to the control. The positive shift in E</w:t>
      </w:r>
      <w:r w:rsidRPr="009812B5">
        <w:rPr>
          <w:rFonts w:ascii="Times New Roman" w:hAnsi="Times New Roman" w:cs="Times New Roman"/>
          <w:sz w:val="24"/>
          <w:szCs w:val="24"/>
          <w:vertAlign w:val="subscript"/>
        </w:rPr>
        <w:t>corr</w:t>
      </w:r>
      <w:r w:rsidRPr="009812B5">
        <w:rPr>
          <w:rFonts w:ascii="Times New Roman" w:hAnsi="Times New Roman" w:cs="Times New Roman"/>
          <w:sz w:val="24"/>
          <w:szCs w:val="24"/>
        </w:rPr>
        <w:t xml:space="preserve"> was more pronounced for the higher concentration of Methionine. This phenomenon suggests that using Methionine as an inhibitor in acidic media has the dominant role of anodic suppression in the process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{"citationID":"1uVTtB7D","properties":{"formattedCitation":"(Hu et al., 2010)","plainCitation":"(Hu et al., 2010)","noteIndex":0},"citationItems":[{"id":34,"uris":["http://zotero.org/users/13853408/items/VEJDVB74"],"itemData":{"id":34,"type":"article-journal","abstract":"This paper presents the investigation of diniconzole and triadimefon as chemical corrosion inhibitors for freshly polished copper in synthetic seawater (3.5% NaCl solution). Determination of weight loss, polarization curves, electrochemical impedance spectroscopy (EIS), and SEM, were performed to analyze the inhibiting performance of these compounds. Polarization curves show that they act as mixed-type inhibitors. EIS indicates that an adsorption ﬁlm of the inhibitors is formed on copper surface. The highest values of inhibition efﬁciency are respectively, 99.2% and 97.3% at 100 mg/L concentration. Thermodynamic calculation suggests that chemisorptions between the compounds and copper are accordance with Langmuir adsorption isotherm.","container-title":"Corrosion Science","DOI":"10.1016/j.corsci.2010.04.038","ISSN":"0010938X","issue":"9","journalAbbreviation":"Corrosion Science","language":"en","page":"2891-2896","source":"DOI.org (Crossref)","title":"Electrochemical and thermodynamic investigation of diniconazole and triadimefon as corrosion inhibitors for copper in synthetic seawater","volume":"52","author":[{"family":"Hu","given":"Lichao"},{"family":"Zhang","given":"Shengtao"},{"family":"Li","given":"Weihua"},{"family":"Hou","given":"Baorong"}],"issued":{"date-parts":[["2010",9]]}}}],"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(Hu et al., 2010)</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As the change in E</w:t>
      </w:r>
      <w:r w:rsidRPr="009812B5">
        <w:rPr>
          <w:rFonts w:ascii="Times New Roman" w:hAnsi="Times New Roman" w:cs="Times New Roman"/>
          <w:sz w:val="24"/>
          <w:szCs w:val="24"/>
          <w:vertAlign w:val="subscript"/>
        </w:rPr>
        <w:t>corr</w:t>
      </w:r>
      <w:r w:rsidRPr="009812B5">
        <w:rPr>
          <w:rFonts w:ascii="Times New Roman" w:hAnsi="Times New Roman" w:cs="Times New Roman"/>
          <w:sz w:val="24"/>
          <w:szCs w:val="24"/>
        </w:rPr>
        <w:t xml:space="preserve"> value for uninhibited and Methionine inhibited solutions were less than 85 mV in all test conditions, Methionine could be considered as a mixed-type corrosion inhibitor </w:t>
      </w: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ZOTERO_ITEM CSL_CITATION {"citationID":"FratUfaq","properties":{"formattedCitation":"(Udayappan &amp; Veawab, 2022)","plainCitation":"(Udayappan &amp; Veawab, 2022)","noteIndex":0},"citationItems":[{"id":18,"uris":["http://zotero.org/users/13853408/items/DYBWRGQD"],"itemData":{"id":18,"type":"article-journal","abstract":"The corrosion inhibition performance of an amino acid, namely methionine (MTI) was evaluated for the absorption-based carbon capture process using aqueous monoethanolamine (MEA). Results from electrochemical tests showed MTI considerably reduced corrosion rates of carbon steel 1018 with inhibition efficiencies of up to 83.56% and 74.96% under static and dynamic conditions, respectively. Its inhibition performance increased with MTI concentration and solution temperature, but decreased with rotational speed. Results from weight loss tests confirmed MTI’s inhibition effectiveness on carbon steel exposed to all phases including liquid, vapor, and liquidvapor. MTI functioned as a mixed-type corrosion inhibitor which protected metal surface by undergoing spon­ taneous and endothermic physical adsorption with the Langmuir adsorption isotherm.","container-title":"International Journal of Greenhouse Gas Control","DOI":"10.1016/j.ijggc.2021.103565","ISSN":"17505836","journalAbbreviation":"International Journal of Greenhouse Gas Control","language":"en","page":"103565","source":"DOI.org (Crossref)","title":"Performance analysis of methionine as an environmentally friendly corrosion inhibitor for carbon steel in the amine based carbon capture process","volume":"114","author":[{"family":"Udayappan","given":"Balaji"},{"family":"Veawab","given":"Amornvadee"}],"issued":{"date-parts":[["2022",2]]}}}],"schema":"https://github.com/citation-style-language/schema/raw/master/csl-citation.json"}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(Udayappan &amp; Veawab, 2022)</w:t>
      </w:r>
      <w:r w:rsidRPr="009812B5">
        <w:rPr>
          <w:rFonts w:ascii="Times New Roman" w:hAnsi="Times New Roman" w:cs="Times New Roman"/>
          <w:sz w:val="24"/>
          <w:szCs w:val="24"/>
        </w:rPr>
        <w:fldChar w:fldCharType="end"/>
      </w:r>
      <w:r w:rsidRPr="009812B5">
        <w:rPr>
          <w:rFonts w:ascii="Times New Roman" w:hAnsi="Times New Roman" w:cs="Times New Roman"/>
          <w:sz w:val="24"/>
          <w:szCs w:val="24"/>
        </w:rPr>
        <w:t>. All the results obtained by electrochemical studies are consistent with the results of the weight loss measurements for all types of inhibitors with all tested concentrations.</w:t>
      </w:r>
    </w:p>
    <w:p w14:paraId="4B4ED7F4" w14:textId="77777777" w:rsidR="00D65CBA" w:rsidRPr="009812B5" w:rsidRDefault="00D65CBA" w:rsidP="00D65CBA">
      <w:pPr>
        <w:pStyle w:val="Heading2"/>
        <w:numPr>
          <w:ilvl w:val="0"/>
          <w:numId w:val="2"/>
        </w:numPr>
        <w:spacing w:before="120" w:after="120" w:line="276" w:lineRule="auto"/>
        <w:rPr>
          <w:rFonts w:ascii="Times New Roman" w:hAnsi="Times New Roman" w:cs="Times New Roman"/>
          <w:b/>
          <w:bCs/>
          <w:color w:val="auto"/>
          <w:sz w:val="24"/>
          <w:szCs w:val="24"/>
        </w:rPr>
      </w:pPr>
      <w:r w:rsidRPr="009812B5">
        <w:rPr>
          <w:rFonts w:ascii="Times New Roman" w:hAnsi="Times New Roman" w:cs="Times New Roman"/>
          <w:b/>
          <w:bCs/>
          <w:color w:val="auto"/>
          <w:sz w:val="24"/>
          <w:szCs w:val="24"/>
        </w:rPr>
        <w:t>Conclusions</w:t>
      </w:r>
    </w:p>
    <w:p w14:paraId="2ABF882E" w14:textId="77777777" w:rsidR="00D65CBA" w:rsidRPr="009812B5" w:rsidRDefault="00D65CBA" w:rsidP="00D65CBA">
      <w:pPr>
        <w:spacing w:before="120" w:after="120" w:line="276" w:lineRule="auto"/>
        <w:rPr>
          <w:rFonts w:ascii="Times New Roman" w:eastAsia="CharisSIL" w:hAnsi="Times New Roman" w:cs="Times New Roman"/>
          <w:sz w:val="24"/>
          <w:szCs w:val="24"/>
        </w:rPr>
      </w:pPr>
      <w:r w:rsidRPr="009812B5">
        <w:rPr>
          <w:rFonts w:ascii="Times New Roman" w:hAnsi="Times New Roman" w:cs="Times New Roman"/>
          <w:sz w:val="24"/>
          <w:szCs w:val="24"/>
        </w:rPr>
        <w:t xml:space="preserve">The effect of selected inhibitors, L-Methionine, L-Arginine, L-Glutamic Acid, and L-Threonine on mild steel in 0.5 M HCl was investigated by gravimetric mass loss measurement </w:t>
      </w:r>
      <w:r w:rsidRPr="009812B5">
        <w:rPr>
          <w:rFonts w:ascii="Times New Roman" w:eastAsia="CharisSIL" w:hAnsi="Times New Roman" w:cs="Times New Roman"/>
          <w:sz w:val="24"/>
          <w:szCs w:val="24"/>
        </w:rPr>
        <w:t>and electrochemical measurements. The obtained results showed that L-Methionine and L-Arginine were effective corrosion inhibitors for mild steel in 0.5 M HCl. With the increasing Methionine and Arginine concentration in the solution, corrosion inhibition rate also increased. The data obtained from weight loss measurements and electrochemical measurements were consistent for each test.</w:t>
      </w:r>
    </w:p>
    <w:p w14:paraId="10D80CB4" w14:textId="77777777" w:rsidR="00D65CBA" w:rsidRPr="009812B5" w:rsidRDefault="00D65CBA" w:rsidP="00D65CBA">
      <w:pPr>
        <w:spacing w:before="120" w:after="120" w:line="276" w:lineRule="auto"/>
        <w:rPr>
          <w:rFonts w:ascii="Times New Roman" w:eastAsia="CharisSIL" w:hAnsi="Times New Roman" w:cs="Times New Roman"/>
          <w:sz w:val="24"/>
          <w:szCs w:val="24"/>
        </w:rPr>
      </w:pPr>
      <w:r w:rsidRPr="009812B5">
        <w:rPr>
          <w:rFonts w:ascii="Times New Roman" w:eastAsia="CharisSIL" w:hAnsi="Times New Roman" w:cs="Times New Roman"/>
          <w:sz w:val="24"/>
          <w:szCs w:val="24"/>
        </w:rPr>
        <w:t>On the contrary, L-Glutamic Acid and L-Threonine showed negative effect in terms of corrosion inhibition of mild steel. These inhibitors were found to accelerate the mild steel corrosion at low concentrations. However, as the concentration of the inhibitors increased, the value of C</w:t>
      </w:r>
      <w:r w:rsidRPr="009812B5">
        <w:rPr>
          <w:rFonts w:ascii="Times New Roman" w:eastAsia="CharisSIL" w:hAnsi="Times New Roman" w:cs="Times New Roman"/>
          <w:sz w:val="24"/>
          <w:szCs w:val="24"/>
          <w:vertAlign w:val="subscript"/>
        </w:rPr>
        <w:t>dl</w:t>
      </w:r>
      <w:r w:rsidRPr="009812B5">
        <w:rPr>
          <w:rFonts w:ascii="Times New Roman" w:eastAsia="CharisSIL" w:hAnsi="Times New Roman" w:cs="Times New Roman"/>
          <w:sz w:val="24"/>
          <w:szCs w:val="24"/>
        </w:rPr>
        <w:t xml:space="preserve"> decreased, suggesting adsorption of the amino acids on the electrode surface increased.</w:t>
      </w:r>
    </w:p>
    <w:p w14:paraId="4B6C0D83" w14:textId="77777777" w:rsidR="00D65CBA" w:rsidRPr="009812B5" w:rsidRDefault="00D65CBA" w:rsidP="00D65CBA">
      <w:pPr>
        <w:spacing w:before="120" w:after="120" w:line="276" w:lineRule="auto"/>
        <w:rPr>
          <w:rFonts w:ascii="Times New Roman" w:hAnsi="Times New Roman" w:cs="Times New Roman"/>
          <w:sz w:val="24"/>
          <w:szCs w:val="24"/>
        </w:rPr>
      </w:pPr>
    </w:p>
    <w:p w14:paraId="0B4F364E" w14:textId="77777777" w:rsidR="00D65CBA" w:rsidRPr="009812B5" w:rsidRDefault="00D65CBA" w:rsidP="00D65CBA">
      <w:pPr>
        <w:pStyle w:val="Heading1"/>
        <w:numPr>
          <w:ilvl w:val="0"/>
          <w:numId w:val="2"/>
        </w:numPr>
        <w:spacing w:before="120" w:after="120" w:line="276" w:lineRule="auto"/>
        <w:rPr>
          <w:rFonts w:ascii="Times New Roman" w:hAnsi="Times New Roman" w:cs="Times New Roman"/>
          <w:b/>
          <w:bCs/>
          <w:color w:val="auto"/>
          <w:sz w:val="24"/>
          <w:szCs w:val="24"/>
        </w:rPr>
      </w:pPr>
      <w:r w:rsidRPr="009812B5">
        <w:rPr>
          <w:rFonts w:ascii="Times New Roman" w:hAnsi="Times New Roman" w:cs="Times New Roman"/>
          <w:b/>
          <w:bCs/>
          <w:color w:val="auto"/>
          <w:sz w:val="24"/>
          <w:szCs w:val="24"/>
        </w:rPr>
        <w:t>References</w:t>
      </w:r>
    </w:p>
    <w:p w14:paraId="78E30E65" w14:textId="77777777" w:rsidR="00D65CBA" w:rsidRPr="009812B5" w:rsidRDefault="00D65CBA" w:rsidP="00D65CBA">
      <w:pPr>
        <w:pStyle w:val="Bibliography"/>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fldChar w:fldCharType="begin"/>
      </w:r>
      <w:r w:rsidRPr="009812B5">
        <w:rPr>
          <w:rFonts w:ascii="Times New Roman" w:hAnsi="Times New Roman" w:cs="Times New Roman"/>
          <w:sz w:val="24"/>
          <w:szCs w:val="24"/>
        </w:rPr>
        <w:instrText xml:space="preserve"> ADDIN ZOTERO_BIBL {"uncited":[],"omitted":[],"custom":[]} CSL_BIBLIOGRAPHY </w:instrText>
      </w:r>
      <w:r w:rsidRPr="009812B5">
        <w:rPr>
          <w:rFonts w:ascii="Times New Roman" w:hAnsi="Times New Roman" w:cs="Times New Roman"/>
          <w:sz w:val="24"/>
          <w:szCs w:val="24"/>
        </w:rPr>
        <w:fldChar w:fldCharType="separate"/>
      </w:r>
      <w:r w:rsidRPr="009812B5">
        <w:rPr>
          <w:rFonts w:ascii="Times New Roman" w:hAnsi="Times New Roman" w:cs="Times New Roman"/>
          <w:sz w:val="24"/>
          <w:szCs w:val="24"/>
        </w:rPr>
        <w:t xml:space="preserve">Amin, M. A., Khaled, K. F., Mohsen, Q., &amp; Arida, H. A. (2010). A study of the inhibition of iron corrosion in HCl solutions by some amino acids. </w:t>
      </w:r>
      <w:r w:rsidRPr="009812B5">
        <w:rPr>
          <w:rFonts w:ascii="Times New Roman" w:hAnsi="Times New Roman" w:cs="Times New Roman"/>
          <w:i/>
          <w:iCs/>
          <w:sz w:val="24"/>
          <w:szCs w:val="24"/>
        </w:rPr>
        <w:t>Corrosion Science</w:t>
      </w:r>
      <w:r w:rsidRPr="009812B5">
        <w:rPr>
          <w:rFonts w:ascii="Times New Roman" w:hAnsi="Times New Roman" w:cs="Times New Roman"/>
          <w:sz w:val="24"/>
          <w:szCs w:val="24"/>
        </w:rPr>
        <w:t xml:space="preserve">, </w:t>
      </w:r>
      <w:r w:rsidRPr="009812B5">
        <w:rPr>
          <w:rFonts w:ascii="Times New Roman" w:hAnsi="Times New Roman" w:cs="Times New Roman"/>
          <w:i/>
          <w:iCs/>
          <w:sz w:val="24"/>
          <w:szCs w:val="24"/>
        </w:rPr>
        <w:t>52</w:t>
      </w:r>
      <w:r w:rsidRPr="009812B5">
        <w:rPr>
          <w:rFonts w:ascii="Times New Roman" w:hAnsi="Times New Roman" w:cs="Times New Roman"/>
          <w:sz w:val="24"/>
          <w:szCs w:val="24"/>
        </w:rPr>
        <w:t>(5), 1684–1695. https://doi.org/10.1016/j.corsci.2010.01.019</w:t>
      </w:r>
    </w:p>
    <w:p w14:paraId="39AC4482" w14:textId="77777777" w:rsidR="00D65CBA" w:rsidRPr="009812B5" w:rsidRDefault="00D65CBA" w:rsidP="00D65CBA">
      <w:pPr>
        <w:pStyle w:val="Bibliography"/>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Ashassi-Sorkhabi, H., Majidi, M. R., &amp; Seyyedi, K. (2004). Investigation of inhibition effect of some amino acids against steel corrosion in HCl solution. </w:t>
      </w:r>
      <w:r w:rsidRPr="009812B5">
        <w:rPr>
          <w:rFonts w:ascii="Times New Roman" w:hAnsi="Times New Roman" w:cs="Times New Roman"/>
          <w:i/>
          <w:iCs/>
          <w:sz w:val="24"/>
          <w:szCs w:val="24"/>
        </w:rPr>
        <w:t>Applied Surface Science</w:t>
      </w:r>
      <w:r w:rsidRPr="009812B5">
        <w:rPr>
          <w:rFonts w:ascii="Times New Roman" w:hAnsi="Times New Roman" w:cs="Times New Roman"/>
          <w:sz w:val="24"/>
          <w:szCs w:val="24"/>
        </w:rPr>
        <w:t xml:space="preserve">, </w:t>
      </w:r>
      <w:r w:rsidRPr="009812B5">
        <w:rPr>
          <w:rFonts w:ascii="Times New Roman" w:hAnsi="Times New Roman" w:cs="Times New Roman"/>
          <w:i/>
          <w:iCs/>
          <w:sz w:val="24"/>
          <w:szCs w:val="24"/>
        </w:rPr>
        <w:t>225</w:t>
      </w:r>
      <w:r w:rsidRPr="009812B5">
        <w:rPr>
          <w:rFonts w:ascii="Times New Roman" w:hAnsi="Times New Roman" w:cs="Times New Roman"/>
          <w:sz w:val="24"/>
          <w:szCs w:val="24"/>
        </w:rPr>
        <w:t>(1–4), 176–185. https://doi.org/10.1016/j.apsusc.2003.10.007</w:t>
      </w:r>
    </w:p>
    <w:p w14:paraId="20CD06F8" w14:textId="77777777" w:rsidR="00D65CBA" w:rsidRPr="009812B5" w:rsidRDefault="00D65CBA" w:rsidP="00D65CBA">
      <w:pPr>
        <w:pStyle w:val="Bibliography"/>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Farag, A. A., Ismail, A. S., &amp; Migahed, M. A. (2018). Environmental-friendly shrimp waste protein corrosion inhibitor for carbon steel in 1 M HCl solution. </w:t>
      </w:r>
      <w:r w:rsidRPr="009812B5">
        <w:rPr>
          <w:rFonts w:ascii="Times New Roman" w:hAnsi="Times New Roman" w:cs="Times New Roman"/>
          <w:i/>
          <w:iCs/>
          <w:sz w:val="24"/>
          <w:szCs w:val="24"/>
        </w:rPr>
        <w:t>Egyptian Journal of Petroleum</w:t>
      </w:r>
      <w:r w:rsidRPr="009812B5">
        <w:rPr>
          <w:rFonts w:ascii="Times New Roman" w:hAnsi="Times New Roman" w:cs="Times New Roman"/>
          <w:sz w:val="24"/>
          <w:szCs w:val="24"/>
        </w:rPr>
        <w:t xml:space="preserve">, </w:t>
      </w:r>
      <w:r w:rsidRPr="009812B5">
        <w:rPr>
          <w:rFonts w:ascii="Times New Roman" w:hAnsi="Times New Roman" w:cs="Times New Roman"/>
          <w:i/>
          <w:iCs/>
          <w:sz w:val="24"/>
          <w:szCs w:val="24"/>
        </w:rPr>
        <w:t>27</w:t>
      </w:r>
      <w:r w:rsidRPr="009812B5">
        <w:rPr>
          <w:rFonts w:ascii="Times New Roman" w:hAnsi="Times New Roman" w:cs="Times New Roman"/>
          <w:sz w:val="24"/>
          <w:szCs w:val="24"/>
        </w:rPr>
        <w:t>(4), 1187–1194. https://doi.org/10.1016/j.ejpe.2018.05.001</w:t>
      </w:r>
    </w:p>
    <w:p w14:paraId="74912677" w14:textId="77777777" w:rsidR="00D65CBA" w:rsidRPr="009812B5" w:rsidRDefault="00D65CBA" w:rsidP="00D65CBA">
      <w:pPr>
        <w:pStyle w:val="Bibliography"/>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Guo, L., Luo, Y., Huang, Y., Yang, W., Zheng, X., Lin, Y., &amp; Marzouki, R. (2022). Imidazolidiny Urea as a Potential Corrosion Inhibitor for Mild Steel in HCl Medium: Experimental and </w:t>
      </w:r>
      <w:r w:rsidRPr="009812B5">
        <w:rPr>
          <w:rFonts w:ascii="Times New Roman" w:hAnsi="Times New Roman" w:cs="Times New Roman"/>
          <w:sz w:val="24"/>
          <w:szCs w:val="24"/>
        </w:rPr>
        <w:lastRenderedPageBreak/>
        <w:t xml:space="preserve">Density-Functional Based Tight-Binding Methods. </w:t>
      </w:r>
      <w:r w:rsidRPr="009812B5">
        <w:rPr>
          <w:rFonts w:ascii="Times New Roman" w:hAnsi="Times New Roman" w:cs="Times New Roman"/>
          <w:i/>
          <w:iCs/>
          <w:sz w:val="24"/>
          <w:szCs w:val="24"/>
        </w:rPr>
        <w:t>International Journal of Electrochemical Science</w:t>
      </w:r>
      <w:r w:rsidRPr="009812B5">
        <w:rPr>
          <w:rFonts w:ascii="Times New Roman" w:hAnsi="Times New Roman" w:cs="Times New Roman"/>
          <w:sz w:val="24"/>
          <w:szCs w:val="24"/>
        </w:rPr>
        <w:t xml:space="preserve">, </w:t>
      </w:r>
      <w:r w:rsidRPr="009812B5">
        <w:rPr>
          <w:rFonts w:ascii="Times New Roman" w:hAnsi="Times New Roman" w:cs="Times New Roman"/>
          <w:i/>
          <w:iCs/>
          <w:sz w:val="24"/>
          <w:szCs w:val="24"/>
        </w:rPr>
        <w:t>17</w:t>
      </w:r>
      <w:r w:rsidRPr="009812B5">
        <w:rPr>
          <w:rFonts w:ascii="Times New Roman" w:hAnsi="Times New Roman" w:cs="Times New Roman"/>
          <w:sz w:val="24"/>
          <w:szCs w:val="24"/>
        </w:rPr>
        <w:t>(7), 220748. https://doi.org/10.20964/2022.07.34</w:t>
      </w:r>
    </w:p>
    <w:p w14:paraId="7F7DA348" w14:textId="77777777" w:rsidR="00D65CBA" w:rsidRPr="009812B5" w:rsidRDefault="00D65CBA" w:rsidP="00D65CBA">
      <w:pPr>
        <w:pStyle w:val="Bibliography"/>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Hu, L., Zhang, S., Li, W., &amp; Hou, B. (2010). Electrochemical and thermodynamic investigation of diniconazole and triadimefon as corrosion inhibitors for copper in synthetic seawater. </w:t>
      </w:r>
      <w:r w:rsidRPr="009812B5">
        <w:rPr>
          <w:rFonts w:ascii="Times New Roman" w:hAnsi="Times New Roman" w:cs="Times New Roman"/>
          <w:i/>
          <w:iCs/>
          <w:sz w:val="24"/>
          <w:szCs w:val="24"/>
        </w:rPr>
        <w:t>Corrosion Science</w:t>
      </w:r>
      <w:r w:rsidRPr="009812B5">
        <w:rPr>
          <w:rFonts w:ascii="Times New Roman" w:hAnsi="Times New Roman" w:cs="Times New Roman"/>
          <w:sz w:val="24"/>
          <w:szCs w:val="24"/>
        </w:rPr>
        <w:t xml:space="preserve">, </w:t>
      </w:r>
      <w:r w:rsidRPr="009812B5">
        <w:rPr>
          <w:rFonts w:ascii="Times New Roman" w:hAnsi="Times New Roman" w:cs="Times New Roman"/>
          <w:i/>
          <w:iCs/>
          <w:sz w:val="24"/>
          <w:szCs w:val="24"/>
        </w:rPr>
        <w:t>52</w:t>
      </w:r>
      <w:r w:rsidRPr="009812B5">
        <w:rPr>
          <w:rFonts w:ascii="Times New Roman" w:hAnsi="Times New Roman" w:cs="Times New Roman"/>
          <w:sz w:val="24"/>
          <w:szCs w:val="24"/>
        </w:rPr>
        <w:t>(9), 2891–2896. https://doi.org/10.1016/j.corsci.2010.04.038</w:t>
      </w:r>
    </w:p>
    <w:p w14:paraId="11EDEB55" w14:textId="77777777" w:rsidR="00D65CBA" w:rsidRPr="009812B5" w:rsidRDefault="00D65CBA" w:rsidP="00D65CBA">
      <w:pPr>
        <w:pStyle w:val="Bibliography"/>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Mobin, M., Parveen, M., &amp; Rafiquee, M. Z. A. (2017). Synergistic effect of sodium dodecyl sulfate and cetyltrimethyl ammonium bromide on the corrosion inhibition behavior of l -methionine on mild steel in acidic medium. </w:t>
      </w:r>
      <w:r w:rsidRPr="009812B5">
        <w:rPr>
          <w:rFonts w:ascii="Times New Roman" w:hAnsi="Times New Roman" w:cs="Times New Roman"/>
          <w:i/>
          <w:iCs/>
          <w:sz w:val="24"/>
          <w:szCs w:val="24"/>
        </w:rPr>
        <w:t>Arabian Journal of Chemistry</w:t>
      </w:r>
      <w:r w:rsidRPr="009812B5">
        <w:rPr>
          <w:rFonts w:ascii="Times New Roman" w:hAnsi="Times New Roman" w:cs="Times New Roman"/>
          <w:sz w:val="24"/>
          <w:szCs w:val="24"/>
        </w:rPr>
        <w:t xml:space="preserve">, </w:t>
      </w:r>
      <w:r w:rsidRPr="009812B5">
        <w:rPr>
          <w:rFonts w:ascii="Times New Roman" w:hAnsi="Times New Roman" w:cs="Times New Roman"/>
          <w:i/>
          <w:iCs/>
          <w:sz w:val="24"/>
          <w:szCs w:val="24"/>
        </w:rPr>
        <w:t>10</w:t>
      </w:r>
      <w:r w:rsidRPr="009812B5">
        <w:rPr>
          <w:rFonts w:ascii="Times New Roman" w:hAnsi="Times New Roman" w:cs="Times New Roman"/>
          <w:sz w:val="24"/>
          <w:szCs w:val="24"/>
        </w:rPr>
        <w:t>, S1364–S1372. https://doi.org/10.1016/j.arabjc.2013.04.006</w:t>
      </w:r>
    </w:p>
    <w:p w14:paraId="6F69DE30" w14:textId="77777777" w:rsidR="00D65CBA" w:rsidRPr="009812B5" w:rsidRDefault="00D65CBA" w:rsidP="00D65CBA">
      <w:pPr>
        <w:pStyle w:val="Bibliography"/>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Oguzie, E. E., Li, Y., &amp; Wang, F. H. (2007). Effect of 2-amino-3-mercaptopropanoic acid (cysteine) on the corrosion behaviour of low carbon steel in sulphuric acid. </w:t>
      </w:r>
      <w:r w:rsidRPr="009812B5">
        <w:rPr>
          <w:rFonts w:ascii="Times New Roman" w:hAnsi="Times New Roman" w:cs="Times New Roman"/>
          <w:i/>
          <w:iCs/>
          <w:sz w:val="24"/>
          <w:szCs w:val="24"/>
        </w:rPr>
        <w:t>Electrochimica Acta</w:t>
      </w:r>
      <w:r w:rsidRPr="009812B5">
        <w:rPr>
          <w:rFonts w:ascii="Times New Roman" w:hAnsi="Times New Roman" w:cs="Times New Roman"/>
          <w:sz w:val="24"/>
          <w:szCs w:val="24"/>
        </w:rPr>
        <w:t xml:space="preserve">, </w:t>
      </w:r>
      <w:r w:rsidRPr="009812B5">
        <w:rPr>
          <w:rFonts w:ascii="Times New Roman" w:hAnsi="Times New Roman" w:cs="Times New Roman"/>
          <w:i/>
          <w:iCs/>
          <w:sz w:val="24"/>
          <w:szCs w:val="24"/>
        </w:rPr>
        <w:t>53</w:t>
      </w:r>
      <w:r w:rsidRPr="009812B5">
        <w:rPr>
          <w:rFonts w:ascii="Times New Roman" w:hAnsi="Times New Roman" w:cs="Times New Roman"/>
          <w:sz w:val="24"/>
          <w:szCs w:val="24"/>
        </w:rPr>
        <w:t>(2), 909–914. https://doi.org/10.1016/j.electacta.2007.07.076</w:t>
      </w:r>
    </w:p>
    <w:p w14:paraId="4B7DCE20" w14:textId="77777777" w:rsidR="00D65CBA" w:rsidRPr="009812B5" w:rsidRDefault="00D65CBA" w:rsidP="00D65CBA">
      <w:pPr>
        <w:pStyle w:val="Bibliography"/>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Roy, P., Saha, S. Kr., Banerjee, P., Dey, S., &amp; Sukul, D. (2017). Experimental and theoretical investigation towards anti-corrosive property of glutamic acid and poly-γ-glutamic acid for mild steel in 1 M HCl: Intramolecular synergism due to copolymerization. </w:t>
      </w:r>
      <w:r w:rsidRPr="009812B5">
        <w:rPr>
          <w:rFonts w:ascii="Times New Roman" w:hAnsi="Times New Roman" w:cs="Times New Roman"/>
          <w:i/>
          <w:iCs/>
          <w:sz w:val="24"/>
          <w:szCs w:val="24"/>
        </w:rPr>
        <w:t>Research on Chemical Intermediates</w:t>
      </w:r>
      <w:r w:rsidRPr="009812B5">
        <w:rPr>
          <w:rFonts w:ascii="Times New Roman" w:hAnsi="Times New Roman" w:cs="Times New Roman"/>
          <w:sz w:val="24"/>
          <w:szCs w:val="24"/>
        </w:rPr>
        <w:t xml:space="preserve">, </w:t>
      </w:r>
      <w:r w:rsidRPr="009812B5">
        <w:rPr>
          <w:rFonts w:ascii="Times New Roman" w:hAnsi="Times New Roman" w:cs="Times New Roman"/>
          <w:i/>
          <w:iCs/>
          <w:sz w:val="24"/>
          <w:szCs w:val="24"/>
        </w:rPr>
        <w:t>43</w:t>
      </w:r>
      <w:r w:rsidRPr="009812B5">
        <w:rPr>
          <w:rFonts w:ascii="Times New Roman" w:hAnsi="Times New Roman" w:cs="Times New Roman"/>
          <w:sz w:val="24"/>
          <w:szCs w:val="24"/>
        </w:rPr>
        <w:t>(8), 4423–4444. https://doi.org/10.1007/s11164-017-2887-6</w:t>
      </w:r>
    </w:p>
    <w:p w14:paraId="345970AD" w14:textId="77777777" w:rsidR="00D65CBA" w:rsidRPr="009812B5" w:rsidRDefault="00D65CBA" w:rsidP="00D65CBA">
      <w:pPr>
        <w:pStyle w:val="Bibliography"/>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Satpati, S., Saha, S. Kr., Suhasaria, A., Banerjee, P., &amp; Sukul, D. (2020). Adsorption and anti-corrosion characteristics of vanillin Schiff bases on mild steel in 1 M HCl: Experimental and theoretical study. </w:t>
      </w:r>
      <w:r w:rsidRPr="009812B5">
        <w:rPr>
          <w:rFonts w:ascii="Times New Roman" w:hAnsi="Times New Roman" w:cs="Times New Roman"/>
          <w:i/>
          <w:iCs/>
          <w:sz w:val="24"/>
          <w:szCs w:val="24"/>
        </w:rPr>
        <w:t>RSC Advances</w:t>
      </w:r>
      <w:r w:rsidRPr="009812B5">
        <w:rPr>
          <w:rFonts w:ascii="Times New Roman" w:hAnsi="Times New Roman" w:cs="Times New Roman"/>
          <w:sz w:val="24"/>
          <w:szCs w:val="24"/>
        </w:rPr>
        <w:t xml:space="preserve">, </w:t>
      </w:r>
      <w:r w:rsidRPr="009812B5">
        <w:rPr>
          <w:rFonts w:ascii="Times New Roman" w:hAnsi="Times New Roman" w:cs="Times New Roman"/>
          <w:i/>
          <w:iCs/>
          <w:sz w:val="24"/>
          <w:szCs w:val="24"/>
        </w:rPr>
        <w:t>10</w:t>
      </w:r>
      <w:r w:rsidRPr="009812B5">
        <w:rPr>
          <w:rFonts w:ascii="Times New Roman" w:hAnsi="Times New Roman" w:cs="Times New Roman"/>
          <w:sz w:val="24"/>
          <w:szCs w:val="24"/>
        </w:rPr>
        <w:t>(16), 9258–9273. https://doi.org/10.1039/C9RA07982C</w:t>
      </w:r>
    </w:p>
    <w:p w14:paraId="66446886" w14:textId="77777777" w:rsidR="00D65CBA" w:rsidRPr="009812B5" w:rsidRDefault="00D65CBA" w:rsidP="00D65CBA">
      <w:pPr>
        <w:pStyle w:val="Bibliography"/>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Udayappan, B., &amp; Veawab, A. (2022). Performance analysis of methionine as an environmentally friendly corrosion inhibitor for carbon steel in the amine based carbon capture process. </w:t>
      </w:r>
      <w:r w:rsidRPr="009812B5">
        <w:rPr>
          <w:rFonts w:ascii="Times New Roman" w:hAnsi="Times New Roman" w:cs="Times New Roman"/>
          <w:i/>
          <w:iCs/>
          <w:sz w:val="24"/>
          <w:szCs w:val="24"/>
        </w:rPr>
        <w:t>International Journal of Greenhouse Gas Control</w:t>
      </w:r>
      <w:r w:rsidRPr="009812B5">
        <w:rPr>
          <w:rFonts w:ascii="Times New Roman" w:hAnsi="Times New Roman" w:cs="Times New Roman"/>
          <w:sz w:val="24"/>
          <w:szCs w:val="24"/>
        </w:rPr>
        <w:t xml:space="preserve">, </w:t>
      </w:r>
      <w:r w:rsidRPr="009812B5">
        <w:rPr>
          <w:rFonts w:ascii="Times New Roman" w:hAnsi="Times New Roman" w:cs="Times New Roman"/>
          <w:i/>
          <w:iCs/>
          <w:sz w:val="24"/>
          <w:szCs w:val="24"/>
        </w:rPr>
        <w:t>114</w:t>
      </w:r>
      <w:r w:rsidRPr="009812B5">
        <w:rPr>
          <w:rFonts w:ascii="Times New Roman" w:hAnsi="Times New Roman" w:cs="Times New Roman"/>
          <w:sz w:val="24"/>
          <w:szCs w:val="24"/>
        </w:rPr>
        <w:t>, 103565. https://doi.org/10.1016/j.ijggc.2021.103565</w:t>
      </w:r>
    </w:p>
    <w:p w14:paraId="696AC80D" w14:textId="77777777" w:rsidR="00D65CBA" w:rsidRPr="009812B5" w:rsidRDefault="00D65CBA" w:rsidP="00D65CBA">
      <w:pPr>
        <w:pStyle w:val="Bibliography"/>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Verma, C., Quraishi, M. A., Kluza, K., Makowska-Janusik, M., Olasunkanmi, L. O., &amp; Ebenso, E. E. (2017). Corrosion inhibition of mild steel in 1M HCl by D-glucose derivatives of dihydropyrido [2,3-d:6,5-d′] dipyrimidine-2, 4, 6, 8(1H,3H, 5H,7H)-tetraone. </w:t>
      </w:r>
      <w:r w:rsidRPr="009812B5">
        <w:rPr>
          <w:rFonts w:ascii="Times New Roman" w:hAnsi="Times New Roman" w:cs="Times New Roman"/>
          <w:i/>
          <w:iCs/>
          <w:sz w:val="24"/>
          <w:szCs w:val="24"/>
        </w:rPr>
        <w:t>Scientific Reports</w:t>
      </w:r>
      <w:r w:rsidRPr="009812B5">
        <w:rPr>
          <w:rFonts w:ascii="Times New Roman" w:hAnsi="Times New Roman" w:cs="Times New Roman"/>
          <w:sz w:val="24"/>
          <w:szCs w:val="24"/>
        </w:rPr>
        <w:t xml:space="preserve">, </w:t>
      </w:r>
      <w:r w:rsidRPr="009812B5">
        <w:rPr>
          <w:rFonts w:ascii="Times New Roman" w:hAnsi="Times New Roman" w:cs="Times New Roman"/>
          <w:i/>
          <w:iCs/>
          <w:sz w:val="24"/>
          <w:szCs w:val="24"/>
        </w:rPr>
        <w:t>7</w:t>
      </w:r>
      <w:r w:rsidRPr="009812B5">
        <w:rPr>
          <w:rFonts w:ascii="Times New Roman" w:hAnsi="Times New Roman" w:cs="Times New Roman"/>
          <w:sz w:val="24"/>
          <w:szCs w:val="24"/>
        </w:rPr>
        <w:t>(1), 44432. https://doi.org/10.1038/srep44432</w:t>
      </w:r>
    </w:p>
    <w:p w14:paraId="40897FBA" w14:textId="77777777" w:rsidR="00D65CBA" w:rsidRPr="009812B5" w:rsidRDefault="00D65CBA" w:rsidP="00D65CBA">
      <w:pPr>
        <w:pStyle w:val="Bibliography"/>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t xml:space="preserve">Wang, Q., Zhang, Q., Zheng, H., Liu, L., Wu, X., Zhao, C., Zhou, X., Sun, Y., Yan, Z., &amp; Li, X. (2023). Insight into anti-corrosion behavior of protein extract as eco–friendly corrosion inhibitor. </w:t>
      </w:r>
      <w:r w:rsidRPr="009812B5">
        <w:rPr>
          <w:rFonts w:ascii="Times New Roman" w:hAnsi="Times New Roman" w:cs="Times New Roman"/>
          <w:i/>
          <w:iCs/>
          <w:sz w:val="24"/>
          <w:szCs w:val="24"/>
        </w:rPr>
        <w:t>Sustainable Chemistry and Pharmacy</w:t>
      </w:r>
      <w:r w:rsidRPr="009812B5">
        <w:rPr>
          <w:rFonts w:ascii="Times New Roman" w:hAnsi="Times New Roman" w:cs="Times New Roman"/>
          <w:sz w:val="24"/>
          <w:szCs w:val="24"/>
        </w:rPr>
        <w:t xml:space="preserve">, </w:t>
      </w:r>
      <w:r w:rsidRPr="009812B5">
        <w:rPr>
          <w:rFonts w:ascii="Times New Roman" w:hAnsi="Times New Roman" w:cs="Times New Roman"/>
          <w:i/>
          <w:iCs/>
          <w:sz w:val="24"/>
          <w:szCs w:val="24"/>
        </w:rPr>
        <w:t>34</w:t>
      </w:r>
      <w:r w:rsidRPr="009812B5">
        <w:rPr>
          <w:rFonts w:ascii="Times New Roman" w:hAnsi="Times New Roman" w:cs="Times New Roman"/>
          <w:sz w:val="24"/>
          <w:szCs w:val="24"/>
        </w:rPr>
        <w:t>, 101177. https://doi.org/10.1016/j.scp.2023.101177</w:t>
      </w:r>
    </w:p>
    <w:p w14:paraId="75F5D6B6" w14:textId="77777777" w:rsidR="00D65CBA" w:rsidRPr="009812B5" w:rsidRDefault="00D65CBA" w:rsidP="00D65CBA">
      <w:pPr>
        <w:spacing w:before="120" w:after="120" w:line="276" w:lineRule="auto"/>
        <w:rPr>
          <w:rFonts w:ascii="Times New Roman" w:hAnsi="Times New Roman" w:cs="Times New Roman"/>
          <w:sz w:val="24"/>
          <w:szCs w:val="24"/>
        </w:rPr>
      </w:pPr>
      <w:r w:rsidRPr="009812B5">
        <w:rPr>
          <w:rFonts w:ascii="Times New Roman" w:hAnsi="Times New Roman" w:cs="Times New Roman"/>
          <w:sz w:val="24"/>
          <w:szCs w:val="24"/>
        </w:rPr>
        <w:fldChar w:fldCharType="end"/>
      </w:r>
    </w:p>
    <w:sdt>
      <w:sdtPr>
        <w:rPr>
          <w:rFonts w:ascii="Times New Roman" w:hAnsi="Times New Roman" w:cs="Times New Roman"/>
          <w:sz w:val="24"/>
          <w:szCs w:val="24"/>
        </w:rPr>
        <w:tag w:val="MENDELEY_BIBLIOGRAPHY"/>
        <w:id w:val="-1376929228"/>
        <w:placeholder>
          <w:docPart w:val="6015344028DA4B8CA1F832A03C8616B8"/>
        </w:placeholder>
      </w:sdtPr>
      <w:sdtContent>
        <w:p w14:paraId="7C09F2A7" w14:textId="1CA8015F" w:rsidR="00F30470" w:rsidRPr="006E2624" w:rsidRDefault="00F30470" w:rsidP="00F30470">
          <w:pPr>
            <w:rPr>
              <w:rFonts w:ascii="Times New Roman" w:hAnsi="Times New Roman" w:cs="Times New Roman"/>
              <w:sz w:val="24"/>
              <w:szCs w:val="24"/>
            </w:rPr>
          </w:pPr>
          <w:r w:rsidRPr="006E2624">
            <w:rPr>
              <w:rFonts w:ascii="Times New Roman" w:eastAsia="Times New Roman" w:hAnsi="Times New Roman" w:cs="Times New Roman"/>
              <w:sz w:val="24"/>
              <w:szCs w:val="24"/>
            </w:rPr>
            <w:t> </w:t>
          </w:r>
        </w:p>
      </w:sdtContent>
    </w:sdt>
    <w:p w14:paraId="7666FC13" w14:textId="77777777" w:rsidR="00F30470" w:rsidRDefault="00F30470" w:rsidP="001C6EE1">
      <w:pPr>
        <w:rPr>
          <w:rFonts w:ascii="Times New Roman" w:hAnsi="Times New Roman" w:cs="Times New Roman"/>
          <w:sz w:val="24"/>
          <w:szCs w:val="24"/>
        </w:rPr>
      </w:pPr>
    </w:p>
    <w:p w14:paraId="41F18720" w14:textId="77777777" w:rsidR="00AA1B24" w:rsidRDefault="00AA1B24" w:rsidP="001C6EE1">
      <w:pPr>
        <w:rPr>
          <w:rFonts w:ascii="Times New Roman" w:hAnsi="Times New Roman" w:cs="Times New Roman"/>
          <w:sz w:val="24"/>
          <w:szCs w:val="24"/>
        </w:rPr>
      </w:pPr>
    </w:p>
    <w:p w14:paraId="76C37890" w14:textId="45225615" w:rsidR="00C360FA" w:rsidRDefault="00C360FA" w:rsidP="001C6EE1">
      <w:pPr>
        <w:rPr>
          <w:rFonts w:ascii="Times New Roman" w:hAnsi="Times New Roman" w:cs="Times New Roman"/>
          <w:b/>
          <w:bCs/>
          <w:sz w:val="24"/>
          <w:szCs w:val="24"/>
        </w:rPr>
      </w:pPr>
      <w:r>
        <w:rPr>
          <w:rFonts w:ascii="Times New Roman" w:hAnsi="Times New Roman" w:cs="Times New Roman"/>
          <w:b/>
          <w:bCs/>
          <w:sz w:val="24"/>
          <w:szCs w:val="24"/>
        </w:rPr>
        <w:t xml:space="preserve">Project </w:t>
      </w:r>
      <w:r w:rsidR="00A2426E">
        <w:rPr>
          <w:rFonts w:ascii="Times New Roman" w:hAnsi="Times New Roman" w:cs="Times New Roman"/>
          <w:b/>
          <w:bCs/>
          <w:sz w:val="24"/>
          <w:szCs w:val="24"/>
        </w:rPr>
        <w:t xml:space="preserve">Financial Activities Incurred </w:t>
      </w:r>
      <w:r>
        <w:rPr>
          <w:rFonts w:ascii="Times New Roman" w:hAnsi="Times New Roman" w:cs="Times New Roman"/>
          <w:b/>
          <w:bCs/>
          <w:sz w:val="24"/>
          <w:szCs w:val="24"/>
        </w:rPr>
        <w:t>during the Reporting Period:</w:t>
      </w:r>
    </w:p>
    <w:p w14:paraId="6BCA689A" w14:textId="4E8C47AA" w:rsidR="00C360FA" w:rsidRDefault="00C360FA" w:rsidP="00C360FA">
      <w:pPr>
        <w:rPr>
          <w:rFonts w:ascii="Times New Roman" w:hAnsi="Times New Roman" w:cs="Times New Roman"/>
          <w:sz w:val="24"/>
          <w:szCs w:val="24"/>
        </w:rPr>
      </w:pPr>
      <w:r w:rsidRPr="00393CD0">
        <w:rPr>
          <w:rFonts w:ascii="Times New Roman" w:hAnsi="Times New Roman" w:cs="Times New Roman"/>
          <w:sz w:val="24"/>
          <w:szCs w:val="24"/>
        </w:rPr>
        <w:t xml:space="preserve">[Include a cost breakdown list to </w:t>
      </w:r>
      <w:r w:rsidR="008C0AE6" w:rsidRPr="00393CD0">
        <w:rPr>
          <w:rFonts w:ascii="Times New Roman" w:hAnsi="Times New Roman" w:cs="Times New Roman"/>
          <w:sz w:val="24"/>
          <w:szCs w:val="24"/>
        </w:rPr>
        <w:t>indicate</w:t>
      </w:r>
      <w:r w:rsidRPr="00393CD0">
        <w:rPr>
          <w:rFonts w:ascii="Times New Roman" w:hAnsi="Times New Roman" w:cs="Times New Roman"/>
          <w:sz w:val="24"/>
          <w:szCs w:val="24"/>
        </w:rPr>
        <w:t xml:space="preserve"> the expenses during the reporting period in each of the categories according to the budget prop</w:t>
      </w:r>
      <w:r w:rsidR="008C0AE6" w:rsidRPr="00393CD0">
        <w:rPr>
          <w:rFonts w:ascii="Times New Roman" w:hAnsi="Times New Roman" w:cs="Times New Roman"/>
          <w:sz w:val="24"/>
          <w:szCs w:val="24"/>
        </w:rPr>
        <w:t>os</w:t>
      </w:r>
      <w:r w:rsidRPr="00393CD0">
        <w:rPr>
          <w:rFonts w:ascii="Times New Roman" w:hAnsi="Times New Roman" w:cs="Times New Roman"/>
          <w:sz w:val="24"/>
          <w:szCs w:val="24"/>
        </w:rPr>
        <w:t>al</w:t>
      </w:r>
      <w:r w:rsidR="008C0AE6" w:rsidRPr="00393CD0">
        <w:rPr>
          <w:rFonts w:ascii="Times New Roman" w:hAnsi="Times New Roman" w:cs="Times New Roman"/>
          <w:sz w:val="24"/>
          <w:szCs w:val="24"/>
        </w:rPr>
        <w:t>.</w:t>
      </w:r>
      <w:r>
        <w:rPr>
          <w:rFonts w:ascii="Times New Roman" w:hAnsi="Times New Roman" w:cs="Times New Roman"/>
          <w:sz w:val="24"/>
          <w:szCs w:val="24"/>
        </w:rPr>
        <w:t xml:space="preserve"> </w:t>
      </w:r>
    </w:p>
    <w:p w14:paraId="03496067" w14:textId="77777777" w:rsidR="00363E99" w:rsidRDefault="00363E99" w:rsidP="00C360FA">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4675"/>
        <w:gridCol w:w="4675"/>
      </w:tblGrid>
      <w:tr w:rsidR="00363E99" w14:paraId="6736973D" w14:textId="77777777" w:rsidTr="00363E99">
        <w:tc>
          <w:tcPr>
            <w:tcW w:w="4675" w:type="dxa"/>
          </w:tcPr>
          <w:p w14:paraId="19D52994" w14:textId="57DCCD5A" w:rsidR="00363E99" w:rsidRDefault="00363E99" w:rsidP="00C360FA">
            <w:pPr>
              <w:rPr>
                <w:rFonts w:ascii="Times New Roman" w:hAnsi="Times New Roman" w:cs="Times New Roman"/>
                <w:sz w:val="24"/>
                <w:szCs w:val="24"/>
              </w:rPr>
            </w:pPr>
            <w:r>
              <w:rPr>
                <w:rFonts w:ascii="Times New Roman" w:hAnsi="Times New Roman" w:cs="Times New Roman"/>
                <w:sz w:val="24"/>
                <w:szCs w:val="24"/>
              </w:rPr>
              <w:t>Category</w:t>
            </w:r>
          </w:p>
        </w:tc>
        <w:tc>
          <w:tcPr>
            <w:tcW w:w="4675" w:type="dxa"/>
          </w:tcPr>
          <w:p w14:paraId="21A8E3C4" w14:textId="02097B18" w:rsidR="00363E99" w:rsidRDefault="00363E99" w:rsidP="00C360FA">
            <w:pPr>
              <w:rPr>
                <w:rFonts w:ascii="Times New Roman" w:hAnsi="Times New Roman" w:cs="Times New Roman"/>
                <w:sz w:val="24"/>
                <w:szCs w:val="24"/>
              </w:rPr>
            </w:pPr>
            <w:r>
              <w:rPr>
                <w:rFonts w:ascii="Times New Roman" w:hAnsi="Times New Roman" w:cs="Times New Roman"/>
                <w:sz w:val="24"/>
                <w:szCs w:val="24"/>
              </w:rPr>
              <w:t>Amount</w:t>
            </w:r>
          </w:p>
        </w:tc>
      </w:tr>
      <w:tr w:rsidR="00363E99" w14:paraId="6D2C90B2" w14:textId="77777777" w:rsidTr="00363E99">
        <w:tc>
          <w:tcPr>
            <w:tcW w:w="4675" w:type="dxa"/>
          </w:tcPr>
          <w:p w14:paraId="3454F27A" w14:textId="3E0FB927" w:rsidR="00363E99" w:rsidRDefault="00363E99" w:rsidP="00C360FA">
            <w:pPr>
              <w:rPr>
                <w:rFonts w:ascii="Times New Roman" w:hAnsi="Times New Roman" w:cs="Times New Roman"/>
                <w:sz w:val="24"/>
                <w:szCs w:val="24"/>
              </w:rPr>
            </w:pPr>
            <w:r>
              <w:rPr>
                <w:rFonts w:ascii="Times New Roman" w:hAnsi="Times New Roman" w:cs="Times New Roman"/>
                <w:sz w:val="24"/>
                <w:szCs w:val="24"/>
              </w:rPr>
              <w:t>Materials and Supplies</w:t>
            </w:r>
          </w:p>
        </w:tc>
        <w:tc>
          <w:tcPr>
            <w:tcW w:w="4675" w:type="dxa"/>
          </w:tcPr>
          <w:p w14:paraId="39E6FAB4" w14:textId="5730AA6A" w:rsidR="00363E99" w:rsidRDefault="00363E99" w:rsidP="00C360FA">
            <w:pPr>
              <w:rPr>
                <w:rFonts w:ascii="Times New Roman" w:hAnsi="Times New Roman" w:cs="Times New Roman"/>
                <w:sz w:val="24"/>
                <w:szCs w:val="24"/>
              </w:rPr>
            </w:pPr>
            <w:r>
              <w:rPr>
                <w:rFonts w:ascii="Times New Roman" w:hAnsi="Times New Roman" w:cs="Times New Roman"/>
                <w:sz w:val="24"/>
                <w:szCs w:val="24"/>
              </w:rPr>
              <w:t>$</w:t>
            </w:r>
            <w:r w:rsidR="00D65CBA">
              <w:rPr>
                <w:rFonts w:ascii="Times New Roman" w:hAnsi="Times New Roman" w:cs="Times New Roman"/>
                <w:sz w:val="24"/>
                <w:szCs w:val="24"/>
              </w:rPr>
              <w:t>2,000</w:t>
            </w:r>
          </w:p>
        </w:tc>
      </w:tr>
      <w:tr w:rsidR="00DB2F82" w14:paraId="7AFA4E87" w14:textId="77777777" w:rsidTr="00363E99">
        <w:tc>
          <w:tcPr>
            <w:tcW w:w="4675" w:type="dxa"/>
          </w:tcPr>
          <w:p w14:paraId="50617DD5" w14:textId="3233784B" w:rsidR="00DB2F82" w:rsidRDefault="00DB2F82" w:rsidP="00C360FA">
            <w:pPr>
              <w:rPr>
                <w:rFonts w:ascii="Times New Roman" w:hAnsi="Times New Roman" w:cs="Times New Roman"/>
                <w:sz w:val="24"/>
                <w:szCs w:val="24"/>
              </w:rPr>
            </w:pPr>
            <w:r>
              <w:rPr>
                <w:rFonts w:ascii="Times New Roman" w:hAnsi="Times New Roman" w:cs="Times New Roman"/>
                <w:sz w:val="24"/>
                <w:szCs w:val="24"/>
              </w:rPr>
              <w:t>Ph.D. student Stipend</w:t>
            </w:r>
            <w:r w:rsidR="00D65CBA">
              <w:rPr>
                <w:rFonts w:ascii="Times New Roman" w:hAnsi="Times New Roman" w:cs="Times New Roman"/>
                <w:sz w:val="24"/>
                <w:szCs w:val="24"/>
              </w:rPr>
              <w:t xml:space="preserve"> and Insurance</w:t>
            </w:r>
          </w:p>
        </w:tc>
        <w:tc>
          <w:tcPr>
            <w:tcW w:w="4675" w:type="dxa"/>
          </w:tcPr>
          <w:p w14:paraId="47253F4D" w14:textId="0724AE11" w:rsidR="00DB2F82" w:rsidRDefault="00D65CBA" w:rsidP="00C360FA">
            <w:pPr>
              <w:rPr>
                <w:rFonts w:ascii="Times New Roman" w:hAnsi="Times New Roman" w:cs="Times New Roman"/>
                <w:sz w:val="24"/>
                <w:szCs w:val="24"/>
              </w:rPr>
            </w:pPr>
            <w:r>
              <w:rPr>
                <w:rFonts w:ascii="Times New Roman" w:hAnsi="Times New Roman" w:cs="Times New Roman"/>
                <w:sz w:val="24"/>
                <w:szCs w:val="24"/>
              </w:rPr>
              <w:t>$11,000</w:t>
            </w:r>
          </w:p>
        </w:tc>
      </w:tr>
      <w:tr w:rsidR="004C3AAC" w14:paraId="5991AC70" w14:textId="77777777" w:rsidTr="00363E99">
        <w:tc>
          <w:tcPr>
            <w:tcW w:w="4675" w:type="dxa"/>
          </w:tcPr>
          <w:p w14:paraId="6A1B6295" w14:textId="47DA43E9" w:rsidR="004C3AAC" w:rsidRDefault="004C3AAC" w:rsidP="00C360FA">
            <w:pPr>
              <w:rPr>
                <w:rFonts w:ascii="Times New Roman" w:hAnsi="Times New Roman" w:cs="Times New Roman"/>
                <w:sz w:val="24"/>
                <w:szCs w:val="24"/>
              </w:rPr>
            </w:pPr>
            <w:r>
              <w:rPr>
                <w:rFonts w:ascii="Times New Roman" w:hAnsi="Times New Roman" w:cs="Times New Roman"/>
                <w:sz w:val="24"/>
                <w:szCs w:val="24"/>
              </w:rPr>
              <w:t>Tuition</w:t>
            </w:r>
          </w:p>
        </w:tc>
        <w:tc>
          <w:tcPr>
            <w:tcW w:w="4675" w:type="dxa"/>
          </w:tcPr>
          <w:p w14:paraId="37A1E9C3" w14:textId="75F7F0B1" w:rsidR="004C3AAC" w:rsidRDefault="00D65CBA" w:rsidP="00C360FA">
            <w:pPr>
              <w:rPr>
                <w:rFonts w:ascii="Times New Roman" w:hAnsi="Times New Roman" w:cs="Times New Roman"/>
                <w:sz w:val="24"/>
                <w:szCs w:val="24"/>
              </w:rPr>
            </w:pPr>
            <w:r>
              <w:rPr>
                <w:rFonts w:ascii="Times New Roman" w:hAnsi="Times New Roman" w:cs="Times New Roman"/>
                <w:sz w:val="24"/>
                <w:szCs w:val="24"/>
              </w:rPr>
              <w:t>$10,000</w:t>
            </w:r>
          </w:p>
        </w:tc>
      </w:tr>
      <w:tr w:rsidR="00DB2F82" w14:paraId="2573810D" w14:textId="77777777" w:rsidTr="00363E99">
        <w:tc>
          <w:tcPr>
            <w:tcW w:w="4675" w:type="dxa"/>
          </w:tcPr>
          <w:p w14:paraId="05CCA0D7" w14:textId="766A8F20" w:rsidR="00DB2F82" w:rsidRDefault="00DB2F82" w:rsidP="00C360FA">
            <w:pPr>
              <w:rPr>
                <w:rFonts w:ascii="Times New Roman" w:hAnsi="Times New Roman" w:cs="Times New Roman"/>
                <w:sz w:val="24"/>
                <w:szCs w:val="24"/>
              </w:rPr>
            </w:pPr>
            <w:r>
              <w:rPr>
                <w:rFonts w:ascii="Times New Roman" w:hAnsi="Times New Roman" w:cs="Times New Roman"/>
                <w:sz w:val="24"/>
                <w:szCs w:val="24"/>
              </w:rPr>
              <w:t>PI salary</w:t>
            </w:r>
          </w:p>
        </w:tc>
        <w:tc>
          <w:tcPr>
            <w:tcW w:w="4675" w:type="dxa"/>
          </w:tcPr>
          <w:p w14:paraId="16430DC2" w14:textId="5D625DBD" w:rsidR="00DB2F82" w:rsidRDefault="00DB2F82" w:rsidP="00C360FA">
            <w:pPr>
              <w:rPr>
                <w:rFonts w:ascii="Times New Roman" w:hAnsi="Times New Roman" w:cs="Times New Roman"/>
                <w:sz w:val="24"/>
                <w:szCs w:val="24"/>
              </w:rPr>
            </w:pPr>
            <w:r>
              <w:rPr>
                <w:rFonts w:ascii="Times New Roman" w:hAnsi="Times New Roman" w:cs="Times New Roman"/>
                <w:sz w:val="24"/>
                <w:szCs w:val="24"/>
              </w:rPr>
              <w:t>Will occur in Summer 2024</w:t>
            </w:r>
          </w:p>
        </w:tc>
      </w:tr>
    </w:tbl>
    <w:p w14:paraId="03402DBD" w14:textId="77777777" w:rsidR="00363E99" w:rsidRDefault="00363E99" w:rsidP="00C360FA">
      <w:pPr>
        <w:rPr>
          <w:rFonts w:ascii="Times New Roman" w:hAnsi="Times New Roman" w:cs="Times New Roman"/>
          <w:sz w:val="24"/>
          <w:szCs w:val="24"/>
        </w:rPr>
      </w:pPr>
    </w:p>
    <w:p w14:paraId="19EE3682" w14:textId="32836B98" w:rsidR="00446F57" w:rsidRDefault="003F2829" w:rsidP="001C6EE1">
      <w:pPr>
        <w:rPr>
          <w:rFonts w:ascii="Times New Roman" w:hAnsi="Times New Roman" w:cs="Times New Roman"/>
          <w:b/>
          <w:bCs/>
          <w:sz w:val="24"/>
          <w:szCs w:val="24"/>
        </w:rPr>
      </w:pPr>
      <w:r w:rsidRPr="003F2829">
        <w:rPr>
          <w:rFonts w:ascii="Times New Roman" w:hAnsi="Times New Roman" w:cs="Times New Roman"/>
          <w:b/>
          <w:bCs/>
          <w:sz w:val="24"/>
          <w:szCs w:val="24"/>
        </w:rPr>
        <w:t>Project Activities with Cost Share Partners:</w:t>
      </w:r>
    </w:p>
    <w:p w14:paraId="0CC12EB1" w14:textId="1331123E" w:rsidR="003F2829" w:rsidRDefault="003F2829" w:rsidP="001C6EE1">
      <w:pPr>
        <w:rPr>
          <w:rFonts w:ascii="Times New Roman" w:hAnsi="Times New Roman" w:cs="Times New Roman"/>
          <w:sz w:val="24"/>
          <w:szCs w:val="24"/>
        </w:rPr>
      </w:pPr>
      <w:r w:rsidRPr="003F2829">
        <w:rPr>
          <w:rFonts w:ascii="Times New Roman" w:hAnsi="Times New Roman" w:cs="Times New Roman"/>
          <w:sz w:val="24"/>
          <w:szCs w:val="24"/>
        </w:rPr>
        <w:t>[Include the major activities that were conducted during this reporting period with cost share partners]</w:t>
      </w:r>
    </w:p>
    <w:p w14:paraId="2463D3FE" w14:textId="6B82B4D9" w:rsidR="00363E99" w:rsidRDefault="00363E99" w:rsidP="001C6EE1">
      <w:pPr>
        <w:rPr>
          <w:rFonts w:ascii="Times New Roman" w:hAnsi="Times New Roman" w:cs="Times New Roman"/>
          <w:sz w:val="24"/>
          <w:szCs w:val="24"/>
        </w:rPr>
      </w:pPr>
      <w:r>
        <w:rPr>
          <w:rFonts w:ascii="Times New Roman" w:hAnsi="Times New Roman" w:cs="Times New Roman"/>
          <w:sz w:val="24"/>
          <w:szCs w:val="24"/>
        </w:rPr>
        <w:t>N/A</w:t>
      </w:r>
    </w:p>
    <w:p w14:paraId="5C958D65" w14:textId="1AB66103" w:rsidR="007C3509" w:rsidRPr="007C3509" w:rsidRDefault="007C3509" w:rsidP="001C6EE1">
      <w:pPr>
        <w:rPr>
          <w:rFonts w:ascii="Times New Roman" w:hAnsi="Times New Roman" w:cs="Times New Roman"/>
          <w:b/>
          <w:bCs/>
          <w:sz w:val="24"/>
          <w:szCs w:val="24"/>
        </w:rPr>
      </w:pPr>
      <w:r w:rsidRPr="007C3509">
        <w:rPr>
          <w:rFonts w:ascii="Times New Roman" w:hAnsi="Times New Roman" w:cs="Times New Roman"/>
          <w:b/>
          <w:bCs/>
          <w:sz w:val="24"/>
          <w:szCs w:val="24"/>
        </w:rPr>
        <w:t>Project Activities with External Partners:</w:t>
      </w:r>
    </w:p>
    <w:p w14:paraId="2876DF8B" w14:textId="24BBDED5" w:rsidR="006240F1" w:rsidRDefault="006240F1" w:rsidP="006240F1">
      <w:pPr>
        <w:rPr>
          <w:rFonts w:ascii="Times New Roman" w:hAnsi="Times New Roman" w:cs="Times New Roman"/>
          <w:sz w:val="24"/>
          <w:szCs w:val="24"/>
        </w:rPr>
      </w:pPr>
      <w:r w:rsidRPr="003F2829">
        <w:rPr>
          <w:rFonts w:ascii="Times New Roman" w:hAnsi="Times New Roman" w:cs="Times New Roman"/>
          <w:sz w:val="24"/>
          <w:szCs w:val="24"/>
        </w:rPr>
        <w:t xml:space="preserve">[Include the major activities that were conducted during this reporting period with </w:t>
      </w:r>
      <w:r>
        <w:rPr>
          <w:rFonts w:ascii="Times New Roman" w:hAnsi="Times New Roman" w:cs="Times New Roman"/>
          <w:sz w:val="24"/>
          <w:szCs w:val="24"/>
        </w:rPr>
        <w:t>any external partners or sub-universities</w:t>
      </w:r>
      <w:r w:rsidRPr="003F2829">
        <w:rPr>
          <w:rFonts w:ascii="Times New Roman" w:hAnsi="Times New Roman" w:cs="Times New Roman"/>
          <w:sz w:val="24"/>
          <w:szCs w:val="24"/>
        </w:rPr>
        <w:t>]</w:t>
      </w:r>
    </w:p>
    <w:p w14:paraId="6E468DB4" w14:textId="1B6340A1" w:rsidR="00363E99" w:rsidRDefault="00D950FB" w:rsidP="006240F1">
      <w:pPr>
        <w:rPr>
          <w:rFonts w:ascii="Times New Roman" w:hAnsi="Times New Roman" w:cs="Times New Roman"/>
          <w:sz w:val="24"/>
          <w:szCs w:val="24"/>
        </w:rPr>
      </w:pPr>
      <w:r>
        <w:rPr>
          <w:rFonts w:ascii="Times New Roman" w:hAnsi="Times New Roman" w:cs="Times New Roman"/>
          <w:sz w:val="24"/>
          <w:szCs w:val="24"/>
        </w:rPr>
        <w:t>N/A</w:t>
      </w:r>
    </w:p>
    <w:p w14:paraId="4B4BDD09" w14:textId="342ECC92" w:rsidR="006240F1" w:rsidRPr="007C3509" w:rsidRDefault="006240F1" w:rsidP="006240F1">
      <w:pPr>
        <w:rPr>
          <w:rFonts w:ascii="Times New Roman" w:hAnsi="Times New Roman" w:cs="Times New Roman"/>
          <w:b/>
          <w:bCs/>
          <w:sz w:val="24"/>
          <w:szCs w:val="24"/>
        </w:rPr>
      </w:pPr>
      <w:r>
        <w:rPr>
          <w:rFonts w:ascii="Times New Roman" w:hAnsi="Times New Roman" w:cs="Times New Roman"/>
          <w:b/>
          <w:bCs/>
          <w:sz w:val="24"/>
          <w:szCs w:val="24"/>
        </w:rPr>
        <w:t>Potential Project Risks</w:t>
      </w:r>
      <w:r w:rsidRPr="007C3509">
        <w:rPr>
          <w:rFonts w:ascii="Times New Roman" w:hAnsi="Times New Roman" w:cs="Times New Roman"/>
          <w:b/>
          <w:bCs/>
          <w:sz w:val="24"/>
          <w:szCs w:val="24"/>
        </w:rPr>
        <w:t>:</w:t>
      </w:r>
    </w:p>
    <w:p w14:paraId="61B46D28" w14:textId="46BBE4B7" w:rsidR="007C3509" w:rsidRDefault="00224C31" w:rsidP="001C6EE1">
      <w:pPr>
        <w:rPr>
          <w:rFonts w:ascii="Times New Roman" w:hAnsi="Times New Roman" w:cs="Times New Roman"/>
          <w:sz w:val="24"/>
          <w:szCs w:val="24"/>
        </w:rPr>
      </w:pPr>
      <w:r>
        <w:rPr>
          <w:rFonts w:ascii="Times New Roman" w:hAnsi="Times New Roman" w:cs="Times New Roman"/>
          <w:sz w:val="24"/>
          <w:szCs w:val="24"/>
        </w:rPr>
        <w:t>[Include potential projects risks that have been noticed, and those that may arise in the next reporting period</w:t>
      </w:r>
      <w:r w:rsidR="00DC5C2B">
        <w:rPr>
          <w:rFonts w:ascii="Times New Roman" w:hAnsi="Times New Roman" w:cs="Times New Roman"/>
          <w:sz w:val="24"/>
          <w:szCs w:val="24"/>
        </w:rPr>
        <w:t>. This section could also include risks.</w:t>
      </w:r>
      <w:r>
        <w:rPr>
          <w:rFonts w:ascii="Times New Roman" w:hAnsi="Times New Roman" w:cs="Times New Roman"/>
          <w:sz w:val="24"/>
          <w:szCs w:val="24"/>
        </w:rPr>
        <w:t>]</w:t>
      </w:r>
    </w:p>
    <w:p w14:paraId="7A646A9C" w14:textId="72D9A13A" w:rsidR="00D950FB" w:rsidRDefault="00D950FB" w:rsidP="001C6EE1">
      <w:pPr>
        <w:rPr>
          <w:rFonts w:ascii="Times New Roman" w:hAnsi="Times New Roman" w:cs="Times New Roman"/>
          <w:sz w:val="24"/>
          <w:szCs w:val="24"/>
        </w:rPr>
      </w:pPr>
      <w:r>
        <w:rPr>
          <w:rFonts w:ascii="Times New Roman" w:hAnsi="Times New Roman" w:cs="Times New Roman"/>
          <w:sz w:val="24"/>
          <w:szCs w:val="24"/>
        </w:rPr>
        <w:t>N/A</w:t>
      </w:r>
    </w:p>
    <w:p w14:paraId="691D14E6" w14:textId="6CE12422" w:rsidR="00224C31" w:rsidRDefault="00224C31" w:rsidP="001C6EE1">
      <w:pPr>
        <w:rPr>
          <w:rFonts w:ascii="Times New Roman" w:hAnsi="Times New Roman" w:cs="Times New Roman"/>
          <w:b/>
          <w:bCs/>
          <w:sz w:val="24"/>
          <w:szCs w:val="24"/>
        </w:rPr>
      </w:pPr>
      <w:r w:rsidRPr="00224C31">
        <w:rPr>
          <w:rFonts w:ascii="Times New Roman" w:hAnsi="Times New Roman" w:cs="Times New Roman"/>
          <w:b/>
          <w:bCs/>
          <w:sz w:val="24"/>
          <w:szCs w:val="24"/>
        </w:rPr>
        <w:t>Future Project Work:</w:t>
      </w:r>
    </w:p>
    <w:p w14:paraId="14342583" w14:textId="364A62EF" w:rsidR="00224C31" w:rsidRDefault="00224C31" w:rsidP="001C6EE1">
      <w:pPr>
        <w:rPr>
          <w:rFonts w:ascii="Times New Roman" w:hAnsi="Times New Roman" w:cs="Times New Roman"/>
          <w:sz w:val="24"/>
          <w:szCs w:val="24"/>
        </w:rPr>
      </w:pPr>
      <w:r>
        <w:rPr>
          <w:rFonts w:ascii="Times New Roman" w:hAnsi="Times New Roman" w:cs="Times New Roman"/>
          <w:sz w:val="24"/>
          <w:szCs w:val="24"/>
        </w:rPr>
        <w:t xml:space="preserve">[Include </w:t>
      </w:r>
      <w:r w:rsidR="009266CE">
        <w:rPr>
          <w:rFonts w:ascii="Times New Roman" w:hAnsi="Times New Roman" w:cs="Times New Roman"/>
          <w:sz w:val="24"/>
          <w:szCs w:val="24"/>
        </w:rPr>
        <w:t xml:space="preserve">significant </w:t>
      </w:r>
      <w:r>
        <w:rPr>
          <w:rFonts w:ascii="Times New Roman" w:hAnsi="Times New Roman" w:cs="Times New Roman"/>
          <w:sz w:val="24"/>
          <w:szCs w:val="24"/>
        </w:rPr>
        <w:t xml:space="preserve">work that will be completed </w:t>
      </w:r>
      <w:r w:rsidR="009266CE">
        <w:rPr>
          <w:rFonts w:ascii="Times New Roman" w:hAnsi="Times New Roman" w:cs="Times New Roman"/>
          <w:sz w:val="24"/>
          <w:szCs w:val="24"/>
        </w:rPr>
        <w:t>in the next 30, 60, and 90 days]</w:t>
      </w:r>
    </w:p>
    <w:p w14:paraId="20EFB148" w14:textId="65B0C103" w:rsidR="00D950FB" w:rsidRDefault="00D950FB" w:rsidP="001C6EE1">
      <w:pPr>
        <w:rPr>
          <w:rFonts w:ascii="Times New Roman" w:hAnsi="Times New Roman" w:cs="Times New Roman"/>
          <w:sz w:val="24"/>
          <w:szCs w:val="24"/>
        </w:rPr>
      </w:pPr>
      <w:r>
        <w:rPr>
          <w:rFonts w:ascii="Times New Roman" w:hAnsi="Times New Roman" w:cs="Times New Roman"/>
          <w:sz w:val="24"/>
          <w:szCs w:val="24"/>
        </w:rPr>
        <w:t>Corrosion experiments with several different bio-based polymers will be conducted. The electrochemical characteristics along with physical changes will be documented. A decision will be made as to which bio-based polymers will be studied further using advanced microscopic analysis.</w:t>
      </w:r>
    </w:p>
    <w:p w14:paraId="5EC23CF2" w14:textId="3684200B" w:rsidR="009B4A50" w:rsidRPr="009B4A50" w:rsidRDefault="009B4A50" w:rsidP="001C6EE1">
      <w:pPr>
        <w:rPr>
          <w:rFonts w:ascii="Times New Roman" w:hAnsi="Times New Roman" w:cs="Times New Roman"/>
          <w:b/>
          <w:bCs/>
          <w:sz w:val="24"/>
          <w:szCs w:val="24"/>
        </w:rPr>
      </w:pPr>
      <w:r w:rsidRPr="009B4A50">
        <w:rPr>
          <w:rFonts w:ascii="Times New Roman" w:hAnsi="Times New Roman" w:cs="Times New Roman"/>
          <w:b/>
          <w:bCs/>
          <w:sz w:val="24"/>
          <w:szCs w:val="24"/>
        </w:rPr>
        <w:t>Potential Impacts to Pipeline Safety:</w:t>
      </w:r>
    </w:p>
    <w:p w14:paraId="05CE1A38" w14:textId="3339A907" w:rsidR="009B4A50" w:rsidRDefault="009B4A50" w:rsidP="001C6EE1">
      <w:pPr>
        <w:rPr>
          <w:rFonts w:ascii="Times New Roman" w:hAnsi="Times New Roman" w:cs="Times New Roman"/>
          <w:sz w:val="24"/>
          <w:szCs w:val="24"/>
        </w:rPr>
      </w:pPr>
      <w:r>
        <w:rPr>
          <w:rFonts w:ascii="Times New Roman" w:hAnsi="Times New Roman" w:cs="Times New Roman"/>
          <w:sz w:val="24"/>
          <w:szCs w:val="24"/>
        </w:rPr>
        <w:t>[Include in this section the projects potential impact to pipeline safety at the current phase of the project]</w:t>
      </w:r>
    </w:p>
    <w:p w14:paraId="78674B20" w14:textId="2EE720FB" w:rsidR="00201F2E" w:rsidRPr="00224C31" w:rsidRDefault="00201F2E" w:rsidP="00201F2E">
      <w:pPr>
        <w:rPr>
          <w:rFonts w:ascii="Times New Roman" w:hAnsi="Times New Roman" w:cs="Times New Roman"/>
          <w:sz w:val="24"/>
          <w:szCs w:val="24"/>
        </w:rPr>
      </w:pPr>
      <w:r w:rsidRPr="00201F2E">
        <w:rPr>
          <w:rFonts w:ascii="Times New Roman" w:hAnsi="Times New Roman" w:cs="Times New Roman"/>
          <w:sz w:val="24"/>
          <w:szCs w:val="24"/>
        </w:rPr>
        <w:lastRenderedPageBreak/>
        <w:t xml:space="preserve">The findings from this project </w:t>
      </w:r>
      <w:r>
        <w:rPr>
          <w:rFonts w:ascii="Times New Roman" w:hAnsi="Times New Roman" w:cs="Times New Roman"/>
          <w:sz w:val="24"/>
          <w:szCs w:val="24"/>
        </w:rPr>
        <w:t xml:space="preserve">will </w:t>
      </w:r>
      <w:r w:rsidRPr="00201F2E">
        <w:rPr>
          <w:rFonts w:ascii="Times New Roman" w:hAnsi="Times New Roman" w:cs="Times New Roman"/>
          <w:sz w:val="24"/>
          <w:szCs w:val="24"/>
        </w:rPr>
        <w:t>have the potential to introduce a new paradigm in the development of green inhibitors and processes that address internal corrosion in pipeline systems.</w:t>
      </w:r>
    </w:p>
    <w:sectPr w:rsidR="00201F2E" w:rsidRPr="00224C31">
      <w:footerReference w:type="default" r:id="rId25"/>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5727C2" w14:textId="77777777" w:rsidR="006F4776" w:rsidRDefault="006F4776" w:rsidP="005802C7">
      <w:pPr>
        <w:spacing w:after="0" w:line="240" w:lineRule="auto"/>
      </w:pPr>
      <w:r>
        <w:separator/>
      </w:r>
    </w:p>
  </w:endnote>
  <w:endnote w:type="continuationSeparator" w:id="0">
    <w:p w14:paraId="2B6C3D6B" w14:textId="77777777" w:rsidR="006F4776" w:rsidRDefault="006F4776" w:rsidP="005802C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harisSIL">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FEEA8B" w14:textId="3D97CE7F" w:rsidR="009266CE" w:rsidRDefault="009266CE">
    <w:pPr>
      <w:pStyle w:val="Footer"/>
    </w:pPr>
    <w:r>
      <w:rPr>
        <w:noProof/>
        <w:color w:val="808080" w:themeColor="background1" w:themeShade="80"/>
      </w:rPr>
      <mc:AlternateContent>
        <mc:Choice Requires="wpg">
          <w:drawing>
            <wp:anchor distT="0" distB="0" distL="0" distR="0" simplePos="0" relativeHeight="251660288" behindDoc="0" locked="0" layoutInCell="1" allowOverlap="1" wp14:anchorId="03D9B103" wp14:editId="51686F85">
              <wp:simplePos x="0" y="0"/>
              <wp:positionH relativeFrom="margin">
                <wp:align>right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5943600" cy="320040"/>
              <wp:effectExtent l="0" t="0" r="0" b="3810"/>
              <wp:wrapSquare wrapText="bothSides"/>
              <wp:docPr id="37" name="Group 37"/>
              <wp:cNvGraphicFramePr/>
              <a:graphic xmlns:a="http://schemas.openxmlformats.org/drawingml/2006/main">
                <a:graphicData uri="http://schemas.microsoft.com/office/word/2010/wordprocessingGroup">
                  <wpg:wgp>
                    <wpg:cNvGrpSpPr/>
                    <wpg:grpSpPr>
                      <a:xfrm>
                        <a:off x="0" y="0"/>
                        <a:ext cx="5943600" cy="320040"/>
                        <a:chOff x="0" y="0"/>
                        <a:chExt cx="5962650" cy="323851"/>
                      </a:xfrm>
                    </wpg:grpSpPr>
                    <wps:wsp>
                      <wps:cNvPr id="38" name="Rectangle 38"/>
                      <wps:cNvSpPr/>
                      <wps:spPr>
                        <a:xfrm>
                          <a:off x="19050" y="0"/>
                          <a:ext cx="5943600" cy="18826"/>
                        </a:xfrm>
                        <a:prstGeom prst="rect">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9" name="Text Box 39"/>
                      <wps:cNvSpPr txBox="1"/>
                      <wps:spPr>
                        <a:xfrm>
                          <a:off x="0" y="66676"/>
                          <a:ext cx="5943600" cy="2571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5E717E91" w14:textId="3B9F3FBD" w:rsidR="009266CE" w:rsidRDefault="009266CE">
                                <w:pPr>
                                  <w:jc w:val="right"/>
                                  <w:rPr>
                                    <w:color w:val="7F7F7F" w:themeColor="text1" w:themeTint="80"/>
                                  </w:rPr>
                                </w:pPr>
                                <w:r>
                                  <w:rPr>
                                    <w:color w:val="7F7F7F" w:themeColor="text1" w:themeTint="80"/>
                                  </w:rPr>
                                  <w:t>[Project Name]</w:t>
                                </w:r>
                              </w:p>
                            </w:sdtContent>
                          </w:sdt>
                          <w:p w14:paraId="431158DE" w14:textId="77777777" w:rsidR="009266CE" w:rsidRDefault="009266CE">
                            <w:pPr>
                              <w:jc w:val="right"/>
                              <w:rPr>
                                <w:color w:val="808080" w:themeColor="background1" w:themeShade="80"/>
                              </w:rPr>
                            </w:pPr>
                          </w:p>
                        </w:txbxContent>
                      </wps:txbx>
                      <wps:bodyPr rot="0" spcFirstLastPara="0" vertOverflow="overflow" horzOverflow="overflow" vert="horz" wrap="square" lIns="91440" tIns="45720" rIns="91440" bIns="0" numCol="1" spcCol="0" rtlCol="0" fromWordArt="0" anchor="b" anchorCtr="0" forceAA="0" compatLnSpc="1">
                        <a:prstTxWarp prst="textNoShape">
                          <a:avLst/>
                        </a:prstTxWarp>
                        <a:noAutofit/>
                      </wps:bodyPr>
                    </wps:wsp>
                  </wpg:wgp>
                </a:graphicData>
              </a:graphic>
              <wp14:sizeRelH relativeFrom="margin">
                <wp14:pctWidth>100000</wp14:pctWidth>
              </wp14:sizeRelH>
              <wp14:sizeRelV relativeFrom="margin">
                <wp14:pctHeight>0</wp14:pctHeight>
              </wp14:sizeRelV>
            </wp:anchor>
          </w:drawing>
        </mc:Choice>
        <mc:Fallback>
          <w:pict>
            <v:group w14:anchorId="03D9B103" id="Group 37" o:spid="_x0000_s1026" style="position:absolute;margin-left:416.8pt;margin-top:0;width:468pt;height:25.2pt;z-index:251660288;mso-width-percent:1000;mso-top-percent:200;mso-wrap-distance-left:0;mso-wrap-distance-right:0;mso-position-horizontal:right;mso-position-horizontal-relative:margin;mso-position-vertical-relative:bottom-margin-area;mso-width-percent:1000;mso-top-percent:200;mso-width-relative:margin;mso-height-relative:margin" coordsize="59626,323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">
              <v:rect id="Rectangle 38" o:spid="_x0000_s1027" style="position:absolute;left:190;width:59436;height:18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" fillcolor="black [3213]" stroked="f" strokeweight="1pt"/>
              <v:shapetype id="_x0000_t202" coordsize="21600,21600" o:spt="202" path="m,l,21600r21600,l21600,xe">
                <v:stroke joinstyle="miter"/>
                <v:path gradientshapeok="t" o:connecttype="rect"/>
              </v:shapetype>
              <v:shape id="Text Box 39" o:spid="_x0000_s1028" type="#_x0000_t202" style="position:absolute;top:666;width:59436;height:2572;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" filled="f" stroked="f" strokeweight=".5pt">
                <v:textbox inset=",,,0">
                  <w:txbxContent>
                    <w:sdt>
                      <w:sdtPr>
                        <w:rPr>
                          <w:color w:val="7F7F7F" w:themeColor="text1" w:themeTint="80"/>
                        </w:rPr>
                        <w:alias w:val="Date"/>
                        <w:tag w:val=""/>
                        <w:id w:val="-1063724354"/>
                        <w:dataBinding w:prefixMappings="xmlns:ns0='http://schemas.microsoft.com/office/2006/coverPageProps' " w:xpath="/ns0:CoverPageProperties[1]/ns0:PublishDate[1]" w:storeItemID="{55AF091B-3C7A-41E3-B477-F2FDAA23CFDA}"/>
                        <w:date>
                          <w:dateFormat w:val="MMMM d, yyyy"/>
                          <w:lid w:val="en-US"/>
                          <w:storeMappedDataAs w:val="dateTime"/>
                          <w:calendar w:val="gregorian"/>
                        </w:date>
                      </w:sdtPr>
                      <w:sdtContent>
                        <w:p w14:paraId="5E717E91" w14:textId="3B9F3FBD" w:rsidR="009266CE" w:rsidRDefault="009266CE">
                          <w:pPr>
                            <w:jc w:val="right"/>
                            <w:rPr>
                              <w:color w:val="7F7F7F" w:themeColor="text1" w:themeTint="80"/>
                            </w:rPr>
                          </w:pPr>
                          <w:r>
                            <w:rPr>
                              <w:color w:val="7F7F7F" w:themeColor="text1" w:themeTint="80"/>
                            </w:rPr>
                            <w:t>[Project Name]</w:t>
                          </w:r>
                        </w:p>
                      </w:sdtContent>
                    </w:sdt>
                    <w:p w14:paraId="431158DE" w14:textId="77777777" w:rsidR="009266CE" w:rsidRDefault="009266CE">
                      <w:pPr>
                        <w:jc w:val="right"/>
                        <w:rPr>
                          <w:color w:val="808080" w:themeColor="background1" w:themeShade="80"/>
                        </w:rPr>
                      </w:pPr>
                    </w:p>
                  </w:txbxContent>
                </v:textbox>
              </v:shape>
              <w10:wrap type="square" anchorx="margin" anchory="margin"/>
            </v:group>
          </w:pict>
        </mc:Fallback>
      </mc:AlternateContent>
    </w:r>
    <w:r>
      <w:rPr>
        <w:noProof/>
      </w:rPr>
      <mc:AlternateContent>
        <mc:Choice Requires="wps">
          <w:drawing>
            <wp:anchor distT="0" distB="0" distL="0" distR="0" simplePos="0" relativeHeight="251659264" behindDoc="0" locked="0" layoutInCell="1" allowOverlap="1" wp14:anchorId="2E8B1A55" wp14:editId="297E00A1">
              <wp:simplePos x="0" y="0"/>
              <wp:positionH relativeFrom="rightMargin">
                <wp:align>left</wp:align>
              </wp:positionH>
              <mc:AlternateContent>
                <mc:Choice Requires="wp14">
                  <wp:positionV relativeFrom="bottomMargin">
                    <wp14:pctPosVOffset>20000</wp14:pctPosVOffset>
                  </wp:positionV>
                </mc:Choice>
                <mc:Fallback>
                  <wp:positionV relativeFrom="page">
                    <wp:posOffset>9326880</wp:posOffset>
                  </wp:positionV>
                </mc:Fallback>
              </mc:AlternateContent>
              <wp:extent cx="457200" cy="320040"/>
              <wp:effectExtent l="0" t="0" r="0" b="3810"/>
              <wp:wrapSquare wrapText="bothSides"/>
              <wp:docPr id="40" name="Rectangle 40"/>
              <wp:cNvGraphicFramePr/>
              <a:graphic xmlns:a="http://schemas.openxmlformats.org/drawingml/2006/main">
                <a:graphicData uri="http://schemas.microsoft.com/office/word/2010/wordprocessingShape">
                  <wps:wsp>
                    <wps:cNvSpPr/>
                    <wps:spPr>
                      <a:xfrm>
                        <a:off x="0" y="0"/>
                        <a:ext cx="457200" cy="320040"/>
                      </a:xfrm>
                      <a:prstGeom prst="rect">
                        <a:avLst/>
                      </a:prstGeom>
                      <a:solidFill>
                        <a:schemeClr val="tx1"/>
                      </a:solidFill>
                      <a:ln w="38100">
                        <a:noFill/>
                      </a:ln>
                    </wps:spPr>
                    <wps:style>
                      <a:lnRef idx="2">
                        <a:schemeClr val="accent1">
                          <a:shade val="50000"/>
                        </a:schemeClr>
                      </a:lnRef>
                      <a:fillRef idx="1">
                        <a:schemeClr val="accent1"/>
                      </a:fillRef>
                      <a:effectRef idx="0">
                        <a:schemeClr val="accent1"/>
                      </a:effectRef>
                      <a:fontRef idx="minor">
                        <a:schemeClr val="lt1"/>
                      </a:fontRef>
                    </wps:style>
                    <wps:txbx>
                      <w:txbxContent>
                        <w:p w14:paraId="70B6F8EB" w14:textId="77777777" w:rsidR="009266CE" w:rsidRDefault="009266C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8B1A55" id="Rectangle 40" o:spid="_x0000_s1029" style="position:absolute;margin-left:0;margin-top:0;width:36pt;height:25.2pt;z-index:251659264;visibility:visible;mso-wrap-style:square;mso-width-percent:0;mso-height-percent:0;mso-top-percent:200;mso-wrap-distance-left:0;mso-wrap-distance-top:0;mso-wrap-distance-right:0;mso-wrap-distance-bottom:0;mso-position-horizontal:left;mso-position-horizontal-relative:right-margin-area;mso-position-vertical-relative:bottom-margin-area;mso-width-percent:0;mso-height-percent:0;mso-top-percent:20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" fillcolor="black [3213]" stroked="f" strokeweight="3pt">
              <v:textbox>
                <w:txbxContent>
                  <w:p w14:paraId="70B6F8EB" w14:textId="77777777" w:rsidR="009266CE" w:rsidRDefault="009266CE">
                    <w:pPr>
                      <w:jc w:val="right"/>
                      <w:rPr>
                        <w:color w:val="FFFFFF" w:themeColor="background1"/>
                        <w:sz w:val="28"/>
                        <w:szCs w:val="28"/>
                      </w:rPr>
                    </w:pPr>
                    <w:r>
                      <w:rPr>
                        <w:color w:val="FFFFFF" w:themeColor="background1"/>
                        <w:sz w:val="28"/>
                        <w:szCs w:val="28"/>
                      </w:rPr>
                      <w:fldChar w:fldCharType="begin"/>
                    </w:r>
                    <w:r>
                      <w:rPr>
                        <w:color w:val="FFFFFF" w:themeColor="background1"/>
                        <w:sz w:val="28"/>
                        <w:szCs w:val="28"/>
                      </w:rPr>
                      <w:instrText xml:space="preserve"> PAGE   \* MERGEFORMAT </w:instrText>
                    </w:r>
                    <w:r>
                      <w:rPr>
                        <w:color w:val="FFFFFF" w:themeColor="background1"/>
                        <w:sz w:val="28"/>
                        <w:szCs w:val="28"/>
                      </w:rPr>
                      <w:fldChar w:fldCharType="separate"/>
                    </w:r>
                    <w:r>
                      <w:rPr>
                        <w:noProof/>
                        <w:color w:val="FFFFFF" w:themeColor="background1"/>
                        <w:sz w:val="28"/>
                        <w:szCs w:val="28"/>
                      </w:rPr>
                      <w:t>2</w:t>
                    </w:r>
                    <w:r>
                      <w:rPr>
                        <w:noProof/>
                        <w:color w:val="FFFFFF" w:themeColor="background1"/>
                        <w:sz w:val="28"/>
                        <w:szCs w:val="28"/>
                      </w:rPr>
                      <w:fldChar w:fldCharType="end"/>
                    </w:r>
                  </w:p>
                </w:txbxContent>
              </v:textbox>
              <w10:wrap type="square" anchorx="margin" anchory="margin"/>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F8FD2E0" w14:textId="77777777" w:rsidR="006F4776" w:rsidRDefault="006F4776" w:rsidP="005802C7">
      <w:pPr>
        <w:spacing w:after="0" w:line="240" w:lineRule="auto"/>
      </w:pPr>
      <w:r>
        <w:separator/>
      </w:r>
    </w:p>
  </w:footnote>
  <w:footnote w:type="continuationSeparator" w:id="0">
    <w:p w14:paraId="10B048D7" w14:textId="77777777" w:rsidR="006F4776" w:rsidRDefault="006F4776" w:rsidP="005802C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F2448B"/>
    <w:multiLevelType w:val="hybridMultilevel"/>
    <w:tmpl w:val="1666CD4C"/>
    <w:lvl w:ilvl="0" w:tplc="677431AC">
      <w:start w:val="3"/>
      <w:numFmt w:val="bullet"/>
      <w:lvlText w:val="-"/>
      <w:lvlJc w:val="left"/>
      <w:pPr>
        <w:ind w:left="360" w:hanging="360"/>
      </w:pPr>
      <w:rPr>
        <w:rFonts w:ascii="Aptos" w:eastAsiaTheme="minorHAnsi" w:hAnsi="Aptos" w:cstheme="minorBid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15:restartNumberingAfterBreak="0">
    <w:nsid w:val="2A8905FC"/>
    <w:multiLevelType w:val="multilevel"/>
    <w:tmpl w:val="C2B050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 w15:restartNumberingAfterBreak="0">
    <w:nsid w:val="2AEC4F69"/>
    <w:multiLevelType w:val="multilevel"/>
    <w:tmpl w:val="C2B05076"/>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108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440" w:hanging="1440"/>
      </w:pPr>
      <w:rPr>
        <w:rFonts w:hint="default"/>
      </w:rPr>
    </w:lvl>
    <w:lvl w:ilvl="5">
      <w:start w:val="1"/>
      <w:numFmt w:val="decimal"/>
      <w:isLgl/>
      <w:lvlText w:val="%1.%2.%3.%4.%5.%6."/>
      <w:lvlJc w:val="left"/>
      <w:pPr>
        <w:ind w:left="1800" w:hanging="1800"/>
      </w:pPr>
      <w:rPr>
        <w:rFonts w:hint="default"/>
      </w:rPr>
    </w:lvl>
    <w:lvl w:ilvl="6">
      <w:start w:val="1"/>
      <w:numFmt w:val="decimal"/>
      <w:isLgl/>
      <w:lvlText w:val="%1.%2.%3.%4.%5.%6.%7."/>
      <w:lvlJc w:val="left"/>
      <w:pPr>
        <w:ind w:left="1800" w:hanging="1800"/>
      </w:pPr>
      <w:rPr>
        <w:rFonts w:hint="default"/>
      </w:rPr>
    </w:lvl>
    <w:lvl w:ilvl="7">
      <w:start w:val="1"/>
      <w:numFmt w:val="decimal"/>
      <w:isLgl/>
      <w:lvlText w:val="%1.%2.%3.%4.%5.%6.%7.%8."/>
      <w:lvlJc w:val="left"/>
      <w:pPr>
        <w:ind w:left="2160" w:hanging="2160"/>
      </w:pPr>
      <w:rPr>
        <w:rFonts w:hint="default"/>
      </w:rPr>
    </w:lvl>
    <w:lvl w:ilvl="8">
      <w:start w:val="1"/>
      <w:numFmt w:val="decimal"/>
      <w:isLgl/>
      <w:lvlText w:val="%1.%2.%3.%4.%5.%6.%7.%8.%9."/>
      <w:lvlJc w:val="left"/>
      <w:pPr>
        <w:ind w:left="2520" w:hanging="2520"/>
      </w:pPr>
      <w:rPr>
        <w:rFonts w:hint="default"/>
      </w:rPr>
    </w:lvl>
  </w:abstractNum>
  <w:abstractNum w:abstractNumId="3" w15:restartNumberingAfterBreak="0">
    <w:nsid w:val="520251D4"/>
    <w:multiLevelType w:val="multilevel"/>
    <w:tmpl w:val="D2324F96"/>
    <w:lvl w:ilvl="0">
      <w:start w:val="1"/>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6D4C3986"/>
    <w:multiLevelType w:val="hybridMultilevel"/>
    <w:tmpl w:val="4168AC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6F86410E"/>
    <w:multiLevelType w:val="multilevel"/>
    <w:tmpl w:val="C2B05076"/>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440" w:hanging="108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num w:numId="1" w16cid:durableId="1506362773">
    <w:abstractNumId w:val="4"/>
  </w:num>
  <w:num w:numId="2" w16cid:durableId="1303197814">
    <w:abstractNumId w:val="2"/>
  </w:num>
  <w:num w:numId="3" w16cid:durableId="1458111168">
    <w:abstractNumId w:val="1"/>
  </w:num>
  <w:num w:numId="4" w16cid:durableId="1585871553">
    <w:abstractNumId w:val="3"/>
  </w:num>
  <w:num w:numId="5" w16cid:durableId="167912352">
    <w:abstractNumId w:val="5"/>
  </w:num>
  <w:num w:numId="6" w16cid:durableId="11247739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3310"/>
    <w:rsid w:val="00030BB7"/>
    <w:rsid w:val="00051572"/>
    <w:rsid w:val="00094222"/>
    <w:rsid w:val="00107AC9"/>
    <w:rsid w:val="00187C64"/>
    <w:rsid w:val="001B2B62"/>
    <w:rsid w:val="001C6EE1"/>
    <w:rsid w:val="00201F2E"/>
    <w:rsid w:val="00224C31"/>
    <w:rsid w:val="002269FB"/>
    <w:rsid w:val="00313070"/>
    <w:rsid w:val="00363E99"/>
    <w:rsid w:val="00373741"/>
    <w:rsid w:val="00393CD0"/>
    <w:rsid w:val="003D0248"/>
    <w:rsid w:val="003E3ED4"/>
    <w:rsid w:val="003F217D"/>
    <w:rsid w:val="003F2829"/>
    <w:rsid w:val="00446F57"/>
    <w:rsid w:val="004C3AAC"/>
    <w:rsid w:val="005802C7"/>
    <w:rsid w:val="00597C27"/>
    <w:rsid w:val="005B6631"/>
    <w:rsid w:val="006240F1"/>
    <w:rsid w:val="00636115"/>
    <w:rsid w:val="00684E03"/>
    <w:rsid w:val="006E2624"/>
    <w:rsid w:val="006E3310"/>
    <w:rsid w:val="006F4776"/>
    <w:rsid w:val="00791C43"/>
    <w:rsid w:val="007C3509"/>
    <w:rsid w:val="007F47EC"/>
    <w:rsid w:val="00814A40"/>
    <w:rsid w:val="00866A63"/>
    <w:rsid w:val="008C0AE6"/>
    <w:rsid w:val="00900C19"/>
    <w:rsid w:val="009266CE"/>
    <w:rsid w:val="009355CA"/>
    <w:rsid w:val="009800EC"/>
    <w:rsid w:val="009B4A50"/>
    <w:rsid w:val="00A2426E"/>
    <w:rsid w:val="00AA0D24"/>
    <w:rsid w:val="00AA1B24"/>
    <w:rsid w:val="00BB336E"/>
    <w:rsid w:val="00C360FA"/>
    <w:rsid w:val="00C76E70"/>
    <w:rsid w:val="00CA23E3"/>
    <w:rsid w:val="00CA4795"/>
    <w:rsid w:val="00D17D76"/>
    <w:rsid w:val="00D4540E"/>
    <w:rsid w:val="00D65CBA"/>
    <w:rsid w:val="00D86C4F"/>
    <w:rsid w:val="00D950FB"/>
    <w:rsid w:val="00DB2F82"/>
    <w:rsid w:val="00DC5C2B"/>
    <w:rsid w:val="00E50A10"/>
    <w:rsid w:val="00EC1550"/>
    <w:rsid w:val="00F04596"/>
    <w:rsid w:val="00F119BD"/>
    <w:rsid w:val="00F30470"/>
    <w:rsid w:val="00F605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504BCB4"/>
  <w15:chartTrackingRefBased/>
  <w15:docId w15:val="{853DEE48-5055-486B-ACFD-D36C3A39CD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D65CBA"/>
    <w:pPr>
      <w:keepNext/>
      <w:keepLines/>
      <w:spacing w:before="360" w:after="80"/>
      <w:outlineLvl w:val="0"/>
    </w:pPr>
    <w:rPr>
      <w:rFonts w:asciiTheme="majorHAnsi" w:eastAsiaTheme="majorEastAsia" w:hAnsiTheme="majorHAnsi" w:cstheme="majorBidi"/>
      <w:color w:val="2F5496" w:themeColor="accent1" w:themeShade="BF"/>
      <w:kern w:val="2"/>
      <w:sz w:val="40"/>
      <w:szCs w:val="40"/>
      <w14:ligatures w14:val="standardContextual"/>
    </w:rPr>
  </w:style>
  <w:style w:type="paragraph" w:styleId="Heading2">
    <w:name w:val="heading 2"/>
    <w:basedOn w:val="Normal"/>
    <w:next w:val="Normal"/>
    <w:link w:val="Heading2Char"/>
    <w:uiPriority w:val="9"/>
    <w:unhideWhenUsed/>
    <w:qFormat/>
    <w:rsid w:val="00D65CBA"/>
    <w:pPr>
      <w:keepNext/>
      <w:keepLines/>
      <w:spacing w:before="160" w:after="80"/>
      <w:outlineLvl w:val="1"/>
    </w:pPr>
    <w:rPr>
      <w:rFonts w:asciiTheme="majorHAnsi" w:eastAsiaTheme="majorEastAsia" w:hAnsiTheme="majorHAnsi" w:cstheme="majorBidi"/>
      <w:color w:val="2F5496" w:themeColor="accent1" w:themeShade="BF"/>
      <w:kern w:val="2"/>
      <w:sz w:val="32"/>
      <w:szCs w:val="32"/>
      <w14:ligatures w14:val="standardContextual"/>
    </w:rPr>
  </w:style>
  <w:style w:type="paragraph" w:styleId="Heading3">
    <w:name w:val="heading 3"/>
    <w:basedOn w:val="Normal"/>
    <w:next w:val="Normal"/>
    <w:link w:val="Heading3Char"/>
    <w:uiPriority w:val="9"/>
    <w:semiHidden/>
    <w:unhideWhenUsed/>
    <w:qFormat/>
    <w:rsid w:val="00D65CBA"/>
    <w:pPr>
      <w:keepNext/>
      <w:keepLines/>
      <w:spacing w:before="160" w:after="80"/>
      <w:outlineLvl w:val="2"/>
    </w:pPr>
    <w:rPr>
      <w:rFonts w:eastAsiaTheme="majorEastAsia" w:cstheme="majorBidi"/>
      <w:color w:val="2F5496" w:themeColor="accent1" w:themeShade="BF"/>
      <w:kern w:val="2"/>
      <w:sz w:val="28"/>
      <w:szCs w:val="28"/>
      <w14:ligatures w14:val="standardContextual"/>
    </w:rPr>
  </w:style>
  <w:style w:type="paragraph" w:styleId="Heading4">
    <w:name w:val="heading 4"/>
    <w:basedOn w:val="Normal"/>
    <w:next w:val="Normal"/>
    <w:link w:val="Heading4Char"/>
    <w:uiPriority w:val="9"/>
    <w:semiHidden/>
    <w:unhideWhenUsed/>
    <w:qFormat/>
    <w:rsid w:val="00D65CBA"/>
    <w:pPr>
      <w:keepNext/>
      <w:keepLines/>
      <w:spacing w:before="80" w:after="40"/>
      <w:outlineLvl w:val="3"/>
    </w:pPr>
    <w:rPr>
      <w:rFonts w:eastAsiaTheme="majorEastAsia" w:cstheme="majorBidi"/>
      <w:i/>
      <w:iCs/>
      <w:color w:val="2F5496" w:themeColor="accent1" w:themeShade="BF"/>
      <w:kern w:val="2"/>
      <w14:ligatures w14:val="standardContextual"/>
    </w:rPr>
  </w:style>
  <w:style w:type="paragraph" w:styleId="Heading5">
    <w:name w:val="heading 5"/>
    <w:basedOn w:val="Normal"/>
    <w:next w:val="Normal"/>
    <w:link w:val="Heading5Char"/>
    <w:uiPriority w:val="9"/>
    <w:semiHidden/>
    <w:unhideWhenUsed/>
    <w:qFormat/>
    <w:rsid w:val="00D65CBA"/>
    <w:pPr>
      <w:keepNext/>
      <w:keepLines/>
      <w:spacing w:before="80" w:after="40"/>
      <w:outlineLvl w:val="4"/>
    </w:pPr>
    <w:rPr>
      <w:rFonts w:eastAsiaTheme="majorEastAsia" w:cstheme="majorBidi"/>
      <w:color w:val="2F5496" w:themeColor="accent1" w:themeShade="BF"/>
      <w:kern w:val="2"/>
      <w14:ligatures w14:val="standardContextual"/>
    </w:rPr>
  </w:style>
  <w:style w:type="paragraph" w:styleId="Heading6">
    <w:name w:val="heading 6"/>
    <w:basedOn w:val="Normal"/>
    <w:next w:val="Normal"/>
    <w:link w:val="Heading6Char"/>
    <w:uiPriority w:val="9"/>
    <w:semiHidden/>
    <w:unhideWhenUsed/>
    <w:qFormat/>
    <w:rsid w:val="00D65CBA"/>
    <w:pPr>
      <w:keepNext/>
      <w:keepLines/>
      <w:spacing w:before="40" w:after="0"/>
      <w:outlineLvl w:val="5"/>
    </w:pPr>
    <w:rPr>
      <w:rFonts w:eastAsiaTheme="majorEastAsia" w:cstheme="majorBidi"/>
      <w:i/>
      <w:iCs/>
      <w:color w:val="595959" w:themeColor="text1" w:themeTint="A6"/>
      <w:kern w:val="2"/>
      <w14:ligatures w14:val="standardContextual"/>
    </w:rPr>
  </w:style>
  <w:style w:type="paragraph" w:styleId="Heading7">
    <w:name w:val="heading 7"/>
    <w:basedOn w:val="Normal"/>
    <w:next w:val="Normal"/>
    <w:link w:val="Heading7Char"/>
    <w:uiPriority w:val="9"/>
    <w:semiHidden/>
    <w:unhideWhenUsed/>
    <w:qFormat/>
    <w:rsid w:val="00D65CBA"/>
    <w:pPr>
      <w:keepNext/>
      <w:keepLines/>
      <w:spacing w:before="40" w:after="0"/>
      <w:outlineLvl w:val="6"/>
    </w:pPr>
    <w:rPr>
      <w:rFonts w:eastAsiaTheme="majorEastAsia" w:cstheme="majorBidi"/>
      <w:color w:val="595959" w:themeColor="text1" w:themeTint="A6"/>
      <w:kern w:val="2"/>
      <w14:ligatures w14:val="standardContextual"/>
    </w:rPr>
  </w:style>
  <w:style w:type="paragraph" w:styleId="Heading8">
    <w:name w:val="heading 8"/>
    <w:basedOn w:val="Normal"/>
    <w:next w:val="Normal"/>
    <w:link w:val="Heading8Char"/>
    <w:uiPriority w:val="9"/>
    <w:semiHidden/>
    <w:unhideWhenUsed/>
    <w:qFormat/>
    <w:rsid w:val="00D65CBA"/>
    <w:pPr>
      <w:keepNext/>
      <w:keepLines/>
      <w:spacing w:after="0"/>
      <w:outlineLvl w:val="7"/>
    </w:pPr>
    <w:rPr>
      <w:rFonts w:eastAsiaTheme="majorEastAsia" w:cstheme="majorBidi"/>
      <w:i/>
      <w:iCs/>
      <w:color w:val="272727" w:themeColor="text1" w:themeTint="D8"/>
      <w:kern w:val="2"/>
      <w14:ligatures w14:val="standardContextual"/>
    </w:rPr>
  </w:style>
  <w:style w:type="paragraph" w:styleId="Heading9">
    <w:name w:val="heading 9"/>
    <w:basedOn w:val="Normal"/>
    <w:next w:val="Normal"/>
    <w:link w:val="Heading9Char"/>
    <w:uiPriority w:val="9"/>
    <w:semiHidden/>
    <w:unhideWhenUsed/>
    <w:qFormat/>
    <w:rsid w:val="00D65CBA"/>
    <w:pPr>
      <w:keepNext/>
      <w:keepLines/>
      <w:spacing w:after="0"/>
      <w:outlineLvl w:val="8"/>
    </w:pPr>
    <w:rPr>
      <w:rFonts w:eastAsiaTheme="majorEastAsia" w:cstheme="majorBidi"/>
      <w:color w:val="272727" w:themeColor="text1" w:themeTint="D8"/>
      <w:kern w:val="2"/>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802C7"/>
    <w:pPr>
      <w:tabs>
        <w:tab w:val="center" w:pos="4680"/>
        <w:tab w:val="right" w:pos="9360"/>
      </w:tabs>
      <w:spacing w:after="0" w:line="240" w:lineRule="auto"/>
    </w:pPr>
  </w:style>
  <w:style w:type="character" w:customStyle="1" w:styleId="HeaderChar">
    <w:name w:val="Header Char"/>
    <w:basedOn w:val="DefaultParagraphFont"/>
    <w:link w:val="Header"/>
    <w:uiPriority w:val="99"/>
    <w:rsid w:val="005802C7"/>
  </w:style>
  <w:style w:type="paragraph" w:styleId="Footer">
    <w:name w:val="footer"/>
    <w:basedOn w:val="Normal"/>
    <w:link w:val="FooterChar"/>
    <w:uiPriority w:val="99"/>
    <w:unhideWhenUsed/>
    <w:rsid w:val="005802C7"/>
    <w:pPr>
      <w:tabs>
        <w:tab w:val="center" w:pos="4680"/>
        <w:tab w:val="right" w:pos="9360"/>
      </w:tabs>
      <w:spacing w:after="0" w:line="240" w:lineRule="auto"/>
    </w:pPr>
  </w:style>
  <w:style w:type="character" w:customStyle="1" w:styleId="FooterChar">
    <w:name w:val="Footer Char"/>
    <w:basedOn w:val="DefaultParagraphFont"/>
    <w:link w:val="Footer"/>
    <w:uiPriority w:val="99"/>
    <w:rsid w:val="005802C7"/>
  </w:style>
  <w:style w:type="character" w:styleId="CommentReference">
    <w:name w:val="annotation reference"/>
    <w:basedOn w:val="DefaultParagraphFont"/>
    <w:uiPriority w:val="99"/>
    <w:semiHidden/>
    <w:unhideWhenUsed/>
    <w:rsid w:val="00D86C4F"/>
    <w:rPr>
      <w:sz w:val="16"/>
      <w:szCs w:val="16"/>
    </w:rPr>
  </w:style>
  <w:style w:type="paragraph" w:styleId="CommentText">
    <w:name w:val="annotation text"/>
    <w:basedOn w:val="Normal"/>
    <w:link w:val="CommentTextChar"/>
    <w:uiPriority w:val="99"/>
    <w:semiHidden/>
    <w:unhideWhenUsed/>
    <w:rsid w:val="00D86C4F"/>
    <w:pPr>
      <w:spacing w:line="240" w:lineRule="auto"/>
    </w:pPr>
    <w:rPr>
      <w:sz w:val="20"/>
      <w:szCs w:val="20"/>
    </w:rPr>
  </w:style>
  <w:style w:type="character" w:customStyle="1" w:styleId="CommentTextChar">
    <w:name w:val="Comment Text Char"/>
    <w:basedOn w:val="DefaultParagraphFont"/>
    <w:link w:val="CommentText"/>
    <w:uiPriority w:val="99"/>
    <w:semiHidden/>
    <w:rsid w:val="00D86C4F"/>
    <w:rPr>
      <w:sz w:val="20"/>
      <w:szCs w:val="20"/>
    </w:rPr>
  </w:style>
  <w:style w:type="paragraph" w:styleId="CommentSubject">
    <w:name w:val="annotation subject"/>
    <w:basedOn w:val="CommentText"/>
    <w:next w:val="CommentText"/>
    <w:link w:val="CommentSubjectChar"/>
    <w:uiPriority w:val="99"/>
    <w:semiHidden/>
    <w:unhideWhenUsed/>
    <w:rsid w:val="00D86C4F"/>
    <w:rPr>
      <w:b/>
      <w:bCs/>
    </w:rPr>
  </w:style>
  <w:style w:type="character" w:customStyle="1" w:styleId="CommentSubjectChar">
    <w:name w:val="Comment Subject Char"/>
    <w:basedOn w:val="CommentTextChar"/>
    <w:link w:val="CommentSubject"/>
    <w:uiPriority w:val="99"/>
    <w:semiHidden/>
    <w:rsid w:val="00D86C4F"/>
    <w:rPr>
      <w:b/>
      <w:bCs/>
      <w:sz w:val="20"/>
      <w:szCs w:val="20"/>
    </w:rPr>
  </w:style>
  <w:style w:type="character" w:styleId="Hyperlink">
    <w:name w:val="Hyperlink"/>
    <w:basedOn w:val="DefaultParagraphFont"/>
    <w:uiPriority w:val="99"/>
    <w:unhideWhenUsed/>
    <w:rsid w:val="00AA1B24"/>
    <w:rPr>
      <w:color w:val="0563C1" w:themeColor="hyperlink"/>
      <w:u w:val="single"/>
    </w:rPr>
  </w:style>
  <w:style w:type="character" w:styleId="UnresolvedMention">
    <w:name w:val="Unresolved Mention"/>
    <w:basedOn w:val="DefaultParagraphFont"/>
    <w:uiPriority w:val="99"/>
    <w:semiHidden/>
    <w:unhideWhenUsed/>
    <w:rsid w:val="00AA1B24"/>
    <w:rPr>
      <w:color w:val="605E5C"/>
      <w:shd w:val="clear" w:color="auto" w:fill="E1DFDD"/>
    </w:rPr>
  </w:style>
  <w:style w:type="table" w:styleId="TableGrid">
    <w:name w:val="Table Grid"/>
    <w:basedOn w:val="TableNormal"/>
    <w:uiPriority w:val="39"/>
    <w:rsid w:val="00363E9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basedOn w:val="DefaultParagraphFont"/>
    <w:link w:val="Heading1"/>
    <w:uiPriority w:val="9"/>
    <w:rsid w:val="00D65CBA"/>
    <w:rPr>
      <w:rFonts w:asciiTheme="majorHAnsi" w:eastAsiaTheme="majorEastAsia" w:hAnsiTheme="majorHAnsi" w:cstheme="majorBidi"/>
      <w:color w:val="2F5496" w:themeColor="accent1" w:themeShade="BF"/>
      <w:kern w:val="2"/>
      <w:sz w:val="40"/>
      <w:szCs w:val="40"/>
      <w14:ligatures w14:val="standardContextual"/>
    </w:rPr>
  </w:style>
  <w:style w:type="character" w:customStyle="1" w:styleId="Heading2Char">
    <w:name w:val="Heading 2 Char"/>
    <w:basedOn w:val="DefaultParagraphFont"/>
    <w:link w:val="Heading2"/>
    <w:uiPriority w:val="9"/>
    <w:rsid w:val="00D65CBA"/>
    <w:rPr>
      <w:rFonts w:asciiTheme="majorHAnsi" w:eastAsiaTheme="majorEastAsia" w:hAnsiTheme="majorHAnsi" w:cstheme="majorBidi"/>
      <w:color w:val="2F5496" w:themeColor="accent1" w:themeShade="BF"/>
      <w:kern w:val="2"/>
      <w:sz w:val="32"/>
      <w:szCs w:val="32"/>
      <w14:ligatures w14:val="standardContextual"/>
    </w:rPr>
  </w:style>
  <w:style w:type="character" w:customStyle="1" w:styleId="Heading3Char">
    <w:name w:val="Heading 3 Char"/>
    <w:basedOn w:val="DefaultParagraphFont"/>
    <w:link w:val="Heading3"/>
    <w:uiPriority w:val="9"/>
    <w:semiHidden/>
    <w:rsid w:val="00D65CBA"/>
    <w:rPr>
      <w:rFonts w:eastAsiaTheme="majorEastAsia" w:cstheme="majorBidi"/>
      <w:color w:val="2F5496" w:themeColor="accent1" w:themeShade="BF"/>
      <w:kern w:val="2"/>
      <w:sz w:val="28"/>
      <w:szCs w:val="28"/>
      <w14:ligatures w14:val="standardContextual"/>
    </w:rPr>
  </w:style>
  <w:style w:type="character" w:customStyle="1" w:styleId="Heading4Char">
    <w:name w:val="Heading 4 Char"/>
    <w:basedOn w:val="DefaultParagraphFont"/>
    <w:link w:val="Heading4"/>
    <w:uiPriority w:val="9"/>
    <w:semiHidden/>
    <w:rsid w:val="00D65CBA"/>
    <w:rPr>
      <w:rFonts w:eastAsiaTheme="majorEastAsia" w:cstheme="majorBidi"/>
      <w:i/>
      <w:iCs/>
      <w:color w:val="2F5496" w:themeColor="accent1" w:themeShade="BF"/>
      <w:kern w:val="2"/>
      <w14:ligatures w14:val="standardContextual"/>
    </w:rPr>
  </w:style>
  <w:style w:type="character" w:customStyle="1" w:styleId="Heading5Char">
    <w:name w:val="Heading 5 Char"/>
    <w:basedOn w:val="DefaultParagraphFont"/>
    <w:link w:val="Heading5"/>
    <w:uiPriority w:val="9"/>
    <w:semiHidden/>
    <w:rsid w:val="00D65CBA"/>
    <w:rPr>
      <w:rFonts w:eastAsiaTheme="majorEastAsia" w:cstheme="majorBidi"/>
      <w:color w:val="2F5496" w:themeColor="accent1" w:themeShade="BF"/>
      <w:kern w:val="2"/>
      <w14:ligatures w14:val="standardContextual"/>
    </w:rPr>
  </w:style>
  <w:style w:type="character" w:customStyle="1" w:styleId="Heading6Char">
    <w:name w:val="Heading 6 Char"/>
    <w:basedOn w:val="DefaultParagraphFont"/>
    <w:link w:val="Heading6"/>
    <w:uiPriority w:val="9"/>
    <w:semiHidden/>
    <w:rsid w:val="00D65CBA"/>
    <w:rPr>
      <w:rFonts w:eastAsiaTheme="majorEastAsia" w:cstheme="majorBidi"/>
      <w:i/>
      <w:iCs/>
      <w:color w:val="595959" w:themeColor="text1" w:themeTint="A6"/>
      <w:kern w:val="2"/>
      <w14:ligatures w14:val="standardContextual"/>
    </w:rPr>
  </w:style>
  <w:style w:type="character" w:customStyle="1" w:styleId="Heading7Char">
    <w:name w:val="Heading 7 Char"/>
    <w:basedOn w:val="DefaultParagraphFont"/>
    <w:link w:val="Heading7"/>
    <w:uiPriority w:val="9"/>
    <w:semiHidden/>
    <w:rsid w:val="00D65CBA"/>
    <w:rPr>
      <w:rFonts w:eastAsiaTheme="majorEastAsia" w:cstheme="majorBidi"/>
      <w:color w:val="595959" w:themeColor="text1" w:themeTint="A6"/>
      <w:kern w:val="2"/>
      <w14:ligatures w14:val="standardContextual"/>
    </w:rPr>
  </w:style>
  <w:style w:type="character" w:customStyle="1" w:styleId="Heading8Char">
    <w:name w:val="Heading 8 Char"/>
    <w:basedOn w:val="DefaultParagraphFont"/>
    <w:link w:val="Heading8"/>
    <w:uiPriority w:val="9"/>
    <w:semiHidden/>
    <w:rsid w:val="00D65CBA"/>
    <w:rPr>
      <w:rFonts w:eastAsiaTheme="majorEastAsia" w:cstheme="majorBidi"/>
      <w:i/>
      <w:iCs/>
      <w:color w:val="272727" w:themeColor="text1" w:themeTint="D8"/>
      <w:kern w:val="2"/>
      <w14:ligatures w14:val="standardContextual"/>
    </w:rPr>
  </w:style>
  <w:style w:type="character" w:customStyle="1" w:styleId="Heading9Char">
    <w:name w:val="Heading 9 Char"/>
    <w:basedOn w:val="DefaultParagraphFont"/>
    <w:link w:val="Heading9"/>
    <w:uiPriority w:val="9"/>
    <w:semiHidden/>
    <w:rsid w:val="00D65CBA"/>
    <w:rPr>
      <w:rFonts w:eastAsiaTheme="majorEastAsia" w:cstheme="majorBidi"/>
      <w:color w:val="272727" w:themeColor="text1" w:themeTint="D8"/>
      <w:kern w:val="2"/>
      <w14:ligatures w14:val="standardContextual"/>
    </w:rPr>
  </w:style>
  <w:style w:type="paragraph" w:styleId="Title">
    <w:name w:val="Title"/>
    <w:basedOn w:val="Normal"/>
    <w:next w:val="Normal"/>
    <w:link w:val="TitleChar"/>
    <w:uiPriority w:val="10"/>
    <w:qFormat/>
    <w:rsid w:val="00D65CBA"/>
    <w:pPr>
      <w:spacing w:after="80" w:line="240" w:lineRule="auto"/>
      <w:contextualSpacing/>
    </w:pPr>
    <w:rPr>
      <w:rFonts w:asciiTheme="majorHAnsi" w:eastAsiaTheme="majorEastAsia" w:hAnsiTheme="majorHAnsi" w:cstheme="majorBidi"/>
      <w:spacing w:val="-10"/>
      <w:kern w:val="28"/>
      <w:sz w:val="56"/>
      <w:szCs w:val="56"/>
      <w14:ligatures w14:val="standardContextual"/>
    </w:rPr>
  </w:style>
  <w:style w:type="character" w:customStyle="1" w:styleId="TitleChar">
    <w:name w:val="Title Char"/>
    <w:basedOn w:val="DefaultParagraphFont"/>
    <w:link w:val="Title"/>
    <w:uiPriority w:val="10"/>
    <w:rsid w:val="00D65CBA"/>
    <w:rPr>
      <w:rFonts w:asciiTheme="majorHAnsi" w:eastAsiaTheme="majorEastAsia" w:hAnsiTheme="majorHAnsi" w:cstheme="majorBidi"/>
      <w:spacing w:val="-10"/>
      <w:kern w:val="28"/>
      <w:sz w:val="56"/>
      <w:szCs w:val="56"/>
      <w14:ligatures w14:val="standardContextual"/>
    </w:rPr>
  </w:style>
  <w:style w:type="paragraph" w:styleId="Subtitle">
    <w:name w:val="Subtitle"/>
    <w:basedOn w:val="Normal"/>
    <w:next w:val="Normal"/>
    <w:link w:val="SubtitleChar"/>
    <w:uiPriority w:val="11"/>
    <w:qFormat/>
    <w:rsid w:val="00D65CBA"/>
    <w:pPr>
      <w:numPr>
        <w:ilvl w:val="1"/>
      </w:numPr>
    </w:pPr>
    <w:rPr>
      <w:rFonts w:eastAsiaTheme="majorEastAsia" w:cstheme="majorBidi"/>
      <w:color w:val="595959" w:themeColor="text1" w:themeTint="A6"/>
      <w:spacing w:val="15"/>
      <w:kern w:val="2"/>
      <w:sz w:val="28"/>
      <w:szCs w:val="28"/>
      <w14:ligatures w14:val="standardContextual"/>
    </w:rPr>
  </w:style>
  <w:style w:type="character" w:customStyle="1" w:styleId="SubtitleChar">
    <w:name w:val="Subtitle Char"/>
    <w:basedOn w:val="DefaultParagraphFont"/>
    <w:link w:val="Subtitle"/>
    <w:uiPriority w:val="11"/>
    <w:rsid w:val="00D65CBA"/>
    <w:rPr>
      <w:rFonts w:eastAsiaTheme="majorEastAsia" w:cstheme="majorBidi"/>
      <w:color w:val="595959" w:themeColor="text1" w:themeTint="A6"/>
      <w:spacing w:val="15"/>
      <w:kern w:val="2"/>
      <w:sz w:val="28"/>
      <w:szCs w:val="28"/>
      <w14:ligatures w14:val="standardContextual"/>
    </w:rPr>
  </w:style>
  <w:style w:type="paragraph" w:styleId="Quote">
    <w:name w:val="Quote"/>
    <w:basedOn w:val="Normal"/>
    <w:next w:val="Normal"/>
    <w:link w:val="QuoteChar"/>
    <w:uiPriority w:val="29"/>
    <w:qFormat/>
    <w:rsid w:val="00D65CBA"/>
    <w:pPr>
      <w:spacing w:before="160"/>
      <w:jc w:val="center"/>
    </w:pPr>
    <w:rPr>
      <w:i/>
      <w:iCs/>
      <w:color w:val="404040" w:themeColor="text1" w:themeTint="BF"/>
      <w:kern w:val="2"/>
      <w14:ligatures w14:val="standardContextual"/>
    </w:rPr>
  </w:style>
  <w:style w:type="character" w:customStyle="1" w:styleId="QuoteChar">
    <w:name w:val="Quote Char"/>
    <w:basedOn w:val="DefaultParagraphFont"/>
    <w:link w:val="Quote"/>
    <w:uiPriority w:val="29"/>
    <w:rsid w:val="00D65CBA"/>
    <w:rPr>
      <w:i/>
      <w:iCs/>
      <w:color w:val="404040" w:themeColor="text1" w:themeTint="BF"/>
      <w:kern w:val="2"/>
      <w14:ligatures w14:val="standardContextual"/>
    </w:rPr>
  </w:style>
  <w:style w:type="paragraph" w:styleId="ListParagraph">
    <w:name w:val="List Paragraph"/>
    <w:basedOn w:val="Normal"/>
    <w:uiPriority w:val="34"/>
    <w:qFormat/>
    <w:rsid w:val="00D65CBA"/>
    <w:pPr>
      <w:ind w:left="720"/>
      <w:contextualSpacing/>
    </w:pPr>
    <w:rPr>
      <w:kern w:val="2"/>
      <w14:ligatures w14:val="standardContextual"/>
    </w:rPr>
  </w:style>
  <w:style w:type="character" w:styleId="IntenseEmphasis">
    <w:name w:val="Intense Emphasis"/>
    <w:basedOn w:val="DefaultParagraphFont"/>
    <w:uiPriority w:val="21"/>
    <w:qFormat/>
    <w:rsid w:val="00D65CBA"/>
    <w:rPr>
      <w:i/>
      <w:iCs/>
      <w:color w:val="2F5496" w:themeColor="accent1" w:themeShade="BF"/>
    </w:rPr>
  </w:style>
  <w:style w:type="paragraph" w:styleId="IntenseQuote">
    <w:name w:val="Intense Quote"/>
    <w:basedOn w:val="Normal"/>
    <w:next w:val="Normal"/>
    <w:link w:val="IntenseQuoteChar"/>
    <w:uiPriority w:val="30"/>
    <w:qFormat/>
    <w:rsid w:val="00D65CBA"/>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kern w:val="2"/>
      <w14:ligatures w14:val="standardContextual"/>
    </w:rPr>
  </w:style>
  <w:style w:type="character" w:customStyle="1" w:styleId="IntenseQuoteChar">
    <w:name w:val="Intense Quote Char"/>
    <w:basedOn w:val="DefaultParagraphFont"/>
    <w:link w:val="IntenseQuote"/>
    <w:uiPriority w:val="30"/>
    <w:rsid w:val="00D65CBA"/>
    <w:rPr>
      <w:i/>
      <w:iCs/>
      <w:color w:val="2F5496" w:themeColor="accent1" w:themeShade="BF"/>
      <w:kern w:val="2"/>
      <w14:ligatures w14:val="standardContextual"/>
    </w:rPr>
  </w:style>
  <w:style w:type="character" w:styleId="IntenseReference">
    <w:name w:val="Intense Reference"/>
    <w:basedOn w:val="DefaultParagraphFont"/>
    <w:uiPriority w:val="32"/>
    <w:qFormat/>
    <w:rsid w:val="00D65CBA"/>
    <w:rPr>
      <w:b/>
      <w:bCs/>
      <w:smallCaps/>
      <w:color w:val="2F5496" w:themeColor="accent1" w:themeShade="BF"/>
      <w:spacing w:val="5"/>
    </w:rPr>
  </w:style>
  <w:style w:type="paragraph" w:customStyle="1" w:styleId="Default">
    <w:name w:val="Default"/>
    <w:rsid w:val="00D65CBA"/>
    <w:pPr>
      <w:autoSpaceDE w:val="0"/>
      <w:autoSpaceDN w:val="0"/>
      <w:adjustRightInd w:val="0"/>
      <w:spacing w:after="0" w:line="240" w:lineRule="auto"/>
    </w:pPr>
    <w:rPr>
      <w:rFonts w:ascii="Times New Roman" w:hAnsi="Times New Roman" w:cs="Times New Roman"/>
      <w:color w:val="000000"/>
      <w:sz w:val="24"/>
      <w:szCs w:val="24"/>
      <w14:ligatures w14:val="standardContextual"/>
    </w:rPr>
  </w:style>
  <w:style w:type="character" w:styleId="PlaceholderText">
    <w:name w:val="Placeholder Text"/>
    <w:basedOn w:val="DefaultParagraphFont"/>
    <w:uiPriority w:val="99"/>
    <w:semiHidden/>
    <w:rsid w:val="00D65CBA"/>
    <w:rPr>
      <w:color w:val="666666"/>
    </w:rPr>
  </w:style>
  <w:style w:type="paragraph" w:styleId="Bibliography">
    <w:name w:val="Bibliography"/>
    <w:basedOn w:val="Normal"/>
    <w:next w:val="Normal"/>
    <w:uiPriority w:val="37"/>
    <w:unhideWhenUsed/>
    <w:rsid w:val="00D65CBA"/>
    <w:pPr>
      <w:spacing w:after="0" w:line="480" w:lineRule="auto"/>
      <w:ind w:left="720" w:hanging="720"/>
    </w:pPr>
    <w:rPr>
      <w:kern w:val="2"/>
      <w14:ligatures w14:val="standardContextual"/>
    </w:rPr>
  </w:style>
  <w:style w:type="paragraph" w:styleId="NormalWeb">
    <w:name w:val="Normal (Web)"/>
    <w:basedOn w:val="Normal"/>
    <w:uiPriority w:val="99"/>
    <w:unhideWhenUsed/>
    <w:rsid w:val="00D65CBA"/>
    <w:pPr>
      <w:spacing w:before="100" w:beforeAutospacing="1" w:after="100" w:afterAutospacing="1" w:line="240" w:lineRule="auto"/>
    </w:pPr>
    <w:rPr>
      <w:rFonts w:ascii="Times New Roman" w:eastAsia="Times New Roman" w:hAnsi="Times New Roman" w:cs="Times New Roman"/>
      <w:sz w:val="24"/>
      <w:szCs w:val="24"/>
    </w:rPr>
  </w:style>
  <w:style w:type="paragraph" w:styleId="Caption">
    <w:name w:val="caption"/>
    <w:basedOn w:val="Normal"/>
    <w:next w:val="Normal"/>
    <w:uiPriority w:val="35"/>
    <w:unhideWhenUsed/>
    <w:qFormat/>
    <w:rsid w:val="00D65CBA"/>
    <w:pPr>
      <w:spacing w:after="200" w:line="240" w:lineRule="auto"/>
    </w:pPr>
    <w:rPr>
      <w:i/>
      <w:iCs/>
      <w:color w:val="44546A" w:themeColor="text2"/>
      <w:kern w:val="2"/>
      <w:sz w:val="18"/>
      <w:szCs w:val="18"/>
      <w14:ligatures w14:val="standardContextual"/>
    </w:rPr>
  </w:style>
  <w:style w:type="paragraph" w:styleId="Revision">
    <w:name w:val="Revision"/>
    <w:hidden/>
    <w:uiPriority w:val="99"/>
    <w:semiHidden/>
    <w:rsid w:val="00D65CBA"/>
    <w:pPr>
      <w:spacing w:after="0" w:line="240" w:lineRule="auto"/>
    </w:pPr>
    <w:rPr>
      <w:kern w:val="2"/>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numbering" Target="numbering.xml"/><Relationship Id="rId21" Type="http://schemas.openxmlformats.org/officeDocument/2006/relationships/image" Target="media/image12.png"/><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24" Type="http://schemas.openxmlformats.org/officeDocument/2006/relationships/image" Target="media/image15.png"/><Relationship Id="rId5"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jpeg"/><Relationship Id="rId28" Type="http://schemas.openxmlformats.org/officeDocument/2006/relationships/theme" Target="theme/theme1.xml"/><Relationship Id="rId10" Type="http://schemas.openxmlformats.org/officeDocument/2006/relationships/image" Target="media/image1.gif"/><Relationship Id="rId19" Type="http://schemas.openxmlformats.org/officeDocument/2006/relationships/image" Target="media/image10.png"/><Relationship Id="rId4" Type="http://schemas.openxmlformats.org/officeDocument/2006/relationships/styles" Target="styles.xml"/><Relationship Id="rId9" Type="http://schemas.openxmlformats.org/officeDocument/2006/relationships/hyperlink" Target="mailto:a.ghahremani@miami.edu" TargetMode="External"/><Relationship Id="rId14" Type="http://schemas.openxmlformats.org/officeDocument/2006/relationships/image" Target="media/image5.jpeg"/><Relationship Id="rId22" Type="http://schemas.openxmlformats.org/officeDocument/2006/relationships/image" Target="media/image13.png"/><Relationship Id="rId27" Type="http://schemas.openxmlformats.org/officeDocument/2006/relationships/glossaryDocument" Target="glossary/document.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015344028DA4B8CA1F832A03C8616B8"/>
        <w:category>
          <w:name w:val="General"/>
          <w:gallery w:val="placeholder"/>
        </w:category>
        <w:types>
          <w:type w:val="bbPlcHdr"/>
        </w:types>
        <w:behaviors>
          <w:behavior w:val="content"/>
        </w:behaviors>
        <w:guid w:val="{61145CAC-F226-4A19-8679-697BE2CCA9CF}"/>
      </w:docPartPr>
      <w:docPartBody>
        <w:p w:rsidR="00055A76" w:rsidRDefault="00BC191B" w:rsidP="00BC191B">
          <w:pPr>
            <w:pStyle w:val="6015344028DA4B8CA1F832A03C8616B8"/>
          </w:pPr>
          <w:r w:rsidRPr="00507142">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 w:name="CharisSIL">
    <w:altName w:val="Yu Gothic"/>
    <w:panose1 w:val="00000000000000000000"/>
    <w:charset w:val="80"/>
    <w:family w:val="auto"/>
    <w:notTrueType/>
    <w:pitch w:val="default"/>
    <w:sig w:usb0="00000001" w:usb1="08070000" w:usb2="00000010" w:usb3="00000000" w:csb0="00020000" w:csb1="00000000"/>
  </w:font>
  <w:font w:name="Cambria Math">
    <w:panose1 w:val="02040503050406030204"/>
    <w:charset w:val="00"/>
    <w:family w:val="roman"/>
    <w:pitch w:val="variable"/>
    <w:sig w:usb0="E00006FF" w:usb1="420024FF" w:usb2="02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91B"/>
    <w:rsid w:val="00055A76"/>
    <w:rsid w:val="00184A2E"/>
    <w:rsid w:val="009A46EF"/>
    <w:rsid w:val="00BC191B"/>
    <w:rsid w:val="00DE4BD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BC191B"/>
    <w:rPr>
      <w:color w:val="666666"/>
    </w:rPr>
  </w:style>
  <w:style w:type="paragraph" w:customStyle="1" w:styleId="6015344028DA4B8CA1F832A03C8616B8">
    <w:name w:val="6015344028DA4B8CA1F832A03C8616B8"/>
    <w:rsid w:val="00BC191B"/>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[Project Name]</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A2DEBC89-3088-4A1A-84EF-B793436981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15</Pages>
  <Words>9836</Words>
  <Characters>55479</Characters>
  <Application>Microsoft Office Word</Application>
  <DocSecurity>0</DocSecurity>
  <Lines>1541</Lines>
  <Paragraphs>960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Schoenkin, Nathan (PHMSA)</dc:creator>
  <cp:keywords/>
  <dc:description/>
  <cp:lastModifiedBy>Ghahremaninezhad, Ali</cp:lastModifiedBy>
  <cp:revision>8</cp:revision>
  <dcterms:created xsi:type="dcterms:W3CDTF">2024-03-29T17:43:00Z</dcterms:created>
  <dcterms:modified xsi:type="dcterms:W3CDTF">2024-03-29T17:54:00Z</dcterms:modified>
</cp:coreProperties>
</file>